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105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80"/>
        <w:gridCol w:w="9450"/>
      </w:tblGrid>
      <w:tr w:rsidR="00BF1CAB">
        <w:tc>
          <w:tcPr>
            <w:tcW w:w="1080" w:type="dxa"/>
            <w:shd w:val="clear" w:color="auto" w:fill="auto"/>
            <w:tcMar>
              <w:top w:w="100" w:type="dxa"/>
              <w:left w:w="100" w:type="dxa"/>
              <w:bottom w:w="100" w:type="dxa"/>
              <w:right w:w="100" w:type="dxa"/>
            </w:tcMar>
          </w:tcPr>
          <w:p w:rsidR="00BF1CAB" w:rsidRDefault="00264E32">
            <w:pPr>
              <w:widowControl w:val="0"/>
              <w:pBdr>
                <w:top w:val="nil"/>
                <w:left w:val="nil"/>
                <w:bottom w:val="nil"/>
                <w:right w:val="nil"/>
                <w:between w:val="nil"/>
              </w:pBdr>
              <w:spacing w:after="0" w:line="240" w:lineRule="auto"/>
              <w:ind w:left="0" w:firstLine="0"/>
              <w:rPr>
                <w:sz w:val="22"/>
                <w:szCs w:val="22"/>
              </w:rPr>
            </w:pPr>
            <w:bookmarkStart w:id="0" w:name="_GoBack" w:colFirst="0" w:colLast="0"/>
            <w:r>
              <w:rPr>
                <w:noProof/>
                <w:sz w:val="22"/>
                <w:szCs w:val="22"/>
              </w:rPr>
              <w:drawing>
                <wp:inline distT="114300" distB="114300" distL="114300" distR="114300">
                  <wp:extent cx="552450" cy="546100"/>
                  <wp:effectExtent l="0" t="0" r="0" b="0"/>
                  <wp:docPr id="40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6"/>
                          <a:srcRect/>
                          <a:stretch>
                            <a:fillRect/>
                          </a:stretch>
                        </pic:blipFill>
                        <pic:spPr>
                          <a:xfrm>
                            <a:off x="0" y="0"/>
                            <a:ext cx="552450" cy="546100"/>
                          </a:xfrm>
                          <a:prstGeom prst="rect">
                            <a:avLst/>
                          </a:prstGeom>
                          <a:ln/>
                        </pic:spPr>
                      </pic:pic>
                    </a:graphicData>
                  </a:graphic>
                </wp:inline>
              </w:drawing>
            </w:r>
          </w:p>
        </w:tc>
        <w:tc>
          <w:tcPr>
            <w:tcW w:w="9450" w:type="dxa"/>
            <w:shd w:val="clear" w:color="auto" w:fill="auto"/>
            <w:tcMar>
              <w:top w:w="100" w:type="dxa"/>
              <w:left w:w="100" w:type="dxa"/>
              <w:bottom w:w="100" w:type="dxa"/>
              <w:right w:w="100" w:type="dxa"/>
            </w:tcMar>
          </w:tcPr>
          <w:p w:rsidR="00BF1CAB" w:rsidRDefault="00264E32">
            <w:pPr>
              <w:widowControl w:val="0"/>
              <w:pBdr>
                <w:top w:val="nil"/>
                <w:left w:val="nil"/>
                <w:bottom w:val="nil"/>
                <w:right w:val="nil"/>
                <w:between w:val="nil"/>
              </w:pBdr>
              <w:spacing w:after="0" w:line="240" w:lineRule="auto"/>
              <w:ind w:left="0" w:firstLine="0"/>
              <w:jc w:val="center"/>
              <w:rPr>
                <w:b/>
                <w:u w:val="single"/>
              </w:rPr>
            </w:pPr>
            <w:r>
              <w:rPr>
                <w:b/>
                <w:u w:val="single"/>
              </w:rPr>
              <w:t>Co-op Academy Glebe</w:t>
            </w:r>
          </w:p>
          <w:p w:rsidR="00BF1CAB" w:rsidRDefault="00BF1CAB">
            <w:pPr>
              <w:widowControl w:val="0"/>
              <w:pBdr>
                <w:top w:val="nil"/>
                <w:left w:val="nil"/>
                <w:bottom w:val="nil"/>
                <w:right w:val="nil"/>
                <w:between w:val="nil"/>
              </w:pBdr>
              <w:spacing w:after="0" w:line="240" w:lineRule="auto"/>
              <w:ind w:left="0" w:firstLine="0"/>
              <w:jc w:val="center"/>
            </w:pPr>
          </w:p>
          <w:p w:rsidR="00BF1CAB" w:rsidRDefault="00264E32">
            <w:pPr>
              <w:widowControl w:val="0"/>
              <w:pBdr>
                <w:top w:val="nil"/>
                <w:left w:val="nil"/>
                <w:bottom w:val="nil"/>
                <w:right w:val="nil"/>
                <w:between w:val="nil"/>
              </w:pBdr>
              <w:spacing w:after="0" w:line="240" w:lineRule="auto"/>
              <w:ind w:left="0" w:firstLine="0"/>
              <w:jc w:val="center"/>
              <w:rPr>
                <w:b/>
              </w:rPr>
            </w:pPr>
            <w:r>
              <w:rPr>
                <w:b/>
              </w:rPr>
              <w:t>SEND Policy</w:t>
            </w:r>
          </w:p>
        </w:tc>
      </w:tr>
      <w:bookmarkEnd w:id="0"/>
    </w:tbl>
    <w:p w:rsidR="00BF1CAB" w:rsidRDefault="00BF1CAB">
      <w:pPr>
        <w:widowControl w:val="0"/>
        <w:pBdr>
          <w:top w:val="nil"/>
          <w:left w:val="nil"/>
          <w:bottom w:val="nil"/>
          <w:right w:val="nil"/>
          <w:between w:val="nil"/>
        </w:pBdr>
        <w:spacing w:after="0" w:line="276" w:lineRule="auto"/>
        <w:ind w:left="0" w:firstLine="0"/>
        <w:rPr>
          <w:sz w:val="22"/>
          <w:szCs w:val="22"/>
        </w:rPr>
      </w:pPr>
    </w:p>
    <w:tbl>
      <w:tblPr>
        <w:tblStyle w:val="a0"/>
        <w:tblW w:w="10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15"/>
        <w:gridCol w:w="7200"/>
      </w:tblGrid>
      <w:tr w:rsidR="00BF1CAB">
        <w:trPr>
          <w:trHeight w:val="290"/>
        </w:trPr>
        <w:tc>
          <w:tcPr>
            <w:tcW w:w="3315" w:type="dxa"/>
            <w:shd w:val="clear" w:color="auto" w:fill="B7B7B7"/>
          </w:tcPr>
          <w:p w:rsidR="00BF1CAB" w:rsidRDefault="00264E32">
            <w:r>
              <w:t>Academy Owner:</w:t>
            </w:r>
          </w:p>
        </w:tc>
        <w:tc>
          <w:tcPr>
            <w:tcW w:w="7200" w:type="dxa"/>
          </w:tcPr>
          <w:p w:rsidR="00BF1CAB" w:rsidRDefault="00264E32">
            <w:pPr>
              <w:ind w:left="0" w:firstLine="0"/>
            </w:pPr>
            <w:r>
              <w:t>Mrs Kirsty Suleman (Head of School)</w:t>
            </w:r>
          </w:p>
        </w:tc>
      </w:tr>
      <w:tr w:rsidR="00BF1CAB">
        <w:trPr>
          <w:trHeight w:val="291"/>
        </w:trPr>
        <w:tc>
          <w:tcPr>
            <w:tcW w:w="3315" w:type="dxa"/>
            <w:shd w:val="clear" w:color="auto" w:fill="B7B7B7"/>
          </w:tcPr>
          <w:p w:rsidR="00BF1CAB" w:rsidRDefault="00264E32">
            <w:r>
              <w:t>Governor Owner:</w:t>
            </w:r>
          </w:p>
        </w:tc>
        <w:tc>
          <w:tcPr>
            <w:tcW w:w="7200" w:type="dxa"/>
          </w:tcPr>
          <w:p w:rsidR="00BF1CAB" w:rsidRDefault="00264E32">
            <w:pPr>
              <w:ind w:left="0" w:firstLine="0"/>
            </w:pPr>
            <w:bookmarkStart w:id="1" w:name="_heading=h.gjdgxs" w:colFirst="0" w:colLast="0"/>
            <w:bookmarkEnd w:id="1"/>
            <w:r>
              <w:t>Kay Price</w:t>
            </w:r>
          </w:p>
        </w:tc>
      </w:tr>
      <w:tr w:rsidR="00BF1CAB">
        <w:trPr>
          <w:trHeight w:val="290"/>
        </w:trPr>
        <w:tc>
          <w:tcPr>
            <w:tcW w:w="3315" w:type="dxa"/>
            <w:shd w:val="clear" w:color="auto" w:fill="B7B7B7"/>
          </w:tcPr>
          <w:p w:rsidR="00BF1CAB" w:rsidRDefault="00264E32">
            <w:r>
              <w:t>Policy Date:</w:t>
            </w:r>
          </w:p>
        </w:tc>
        <w:tc>
          <w:tcPr>
            <w:tcW w:w="7200" w:type="dxa"/>
          </w:tcPr>
          <w:p w:rsidR="00BF1CAB" w:rsidRDefault="00264E32">
            <w:pPr>
              <w:ind w:left="0" w:firstLine="0"/>
            </w:pPr>
            <w:r>
              <w:t>September 2023</w:t>
            </w:r>
          </w:p>
        </w:tc>
      </w:tr>
      <w:tr w:rsidR="00BF1CAB">
        <w:trPr>
          <w:trHeight w:val="291"/>
        </w:trPr>
        <w:tc>
          <w:tcPr>
            <w:tcW w:w="3315" w:type="dxa"/>
            <w:shd w:val="clear" w:color="auto" w:fill="B7B7B7"/>
          </w:tcPr>
          <w:p w:rsidR="00BF1CAB" w:rsidRDefault="00264E32">
            <w:r>
              <w:t>Review Date:</w:t>
            </w:r>
          </w:p>
        </w:tc>
        <w:tc>
          <w:tcPr>
            <w:tcW w:w="7200" w:type="dxa"/>
          </w:tcPr>
          <w:p w:rsidR="00BF1CAB" w:rsidRDefault="00264E32">
            <w:pPr>
              <w:ind w:left="0" w:firstLine="0"/>
            </w:pPr>
            <w:r>
              <w:t>September 2024</w:t>
            </w:r>
          </w:p>
        </w:tc>
      </w:tr>
      <w:tr w:rsidR="00BF1CAB">
        <w:trPr>
          <w:trHeight w:val="291"/>
        </w:trPr>
        <w:tc>
          <w:tcPr>
            <w:tcW w:w="3315" w:type="dxa"/>
            <w:shd w:val="clear" w:color="auto" w:fill="B7B7B7"/>
          </w:tcPr>
          <w:p w:rsidR="00BF1CAB" w:rsidRDefault="00264E32">
            <w:r>
              <w:t xml:space="preserve">Frequency: </w:t>
            </w:r>
          </w:p>
        </w:tc>
        <w:tc>
          <w:tcPr>
            <w:tcW w:w="7200" w:type="dxa"/>
          </w:tcPr>
          <w:p w:rsidR="00BF1CAB" w:rsidRDefault="00264E32">
            <w:pPr>
              <w:ind w:left="0" w:firstLine="0"/>
            </w:pPr>
            <w:r>
              <w:t>Annual</w:t>
            </w:r>
          </w:p>
        </w:tc>
      </w:tr>
    </w:tbl>
    <w:p w:rsidR="00BF1CAB" w:rsidRDefault="00BF1CAB">
      <w:pPr>
        <w:pStyle w:val="Heading1"/>
        <w:spacing w:after="356"/>
        <w:ind w:left="0" w:firstLine="0"/>
      </w:pPr>
    </w:p>
    <w:p w:rsidR="00BF1CAB" w:rsidRDefault="00264E32">
      <w:pPr>
        <w:pStyle w:val="Heading1"/>
        <w:spacing w:after="356"/>
        <w:ind w:left="0" w:firstLine="0"/>
        <w:rPr>
          <w:u w:val="single"/>
        </w:rPr>
      </w:pPr>
      <w:r>
        <w:rPr>
          <w:u w:val="single"/>
        </w:rPr>
        <w:t xml:space="preserve">Co-op Academy Glebe’s Trust </w:t>
      </w:r>
      <w:r>
        <w:rPr>
          <w:u w:val="single"/>
        </w:rPr>
        <w:t xml:space="preserve"> </w:t>
      </w:r>
    </w:p>
    <w:p w:rsidR="00BF1CAB" w:rsidRDefault="00264E32">
      <w:pPr>
        <w:spacing w:after="376"/>
        <w:ind w:left="10" w:right="6" w:firstLine="0"/>
        <w:rPr>
          <w:rFonts w:ascii="Avenir" w:eastAsia="Avenir" w:hAnsi="Avenir" w:cs="Avenir"/>
          <w:sz w:val="20"/>
          <w:szCs w:val="20"/>
        </w:rPr>
      </w:pPr>
      <w:r>
        <w:t>At Co-op Academy Glebe we plan a curriculum which reflects our six school values: </w:t>
      </w:r>
      <w:r>
        <w:rPr>
          <w:b/>
          <w:color w:val="0000FF"/>
        </w:rPr>
        <w:t xml:space="preserve">THRIVE: Togetherness, Hunger to Learn, Resilience, Inspiring Individuals, Valuing all, Excel and </w:t>
      </w:r>
      <w:proofErr w:type="gramStart"/>
      <w:r>
        <w:rPr>
          <w:b/>
          <w:color w:val="0000FF"/>
        </w:rPr>
        <w:t xml:space="preserve">Enjoy  </w:t>
      </w:r>
      <w:r>
        <w:t>and</w:t>
      </w:r>
      <w:proofErr w:type="gramEnd"/>
      <w:r>
        <w:t xml:space="preserve"> which incorporates high performing experiences where children are </w:t>
      </w:r>
      <w:r>
        <w:t>engaged and challenged and developed educationally, physically, socially and emotionally.</w:t>
      </w:r>
      <w:r>
        <w:t xml:space="preserve"> These are underpin</w:t>
      </w:r>
      <w:r>
        <w:t xml:space="preserve">ned by our Co-op Academies Trust 4 values of: Succeed together, </w:t>
      </w:r>
      <w:proofErr w:type="gramStart"/>
      <w:r>
        <w:t>Be</w:t>
      </w:r>
      <w:proofErr w:type="gramEnd"/>
      <w:r>
        <w:t xml:space="preserve"> yourself always, Show you care, Do what matters most. </w:t>
      </w:r>
    </w:p>
    <w:tbl>
      <w:tblPr>
        <w:tblStyle w:val="a1"/>
        <w:tblW w:w="106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80"/>
        <w:gridCol w:w="1780"/>
        <w:gridCol w:w="1780"/>
        <w:gridCol w:w="1760"/>
        <w:gridCol w:w="1740"/>
        <w:gridCol w:w="1780"/>
      </w:tblGrid>
      <w:tr w:rsidR="00BF1CAB">
        <w:trPr>
          <w:trHeight w:val="459"/>
        </w:trPr>
        <w:tc>
          <w:tcPr>
            <w:tcW w:w="1780" w:type="dxa"/>
            <w:shd w:val="clear" w:color="auto" w:fill="FFC000"/>
          </w:tcPr>
          <w:p w:rsidR="00BF1CAB" w:rsidRDefault="00264E32">
            <w:pPr>
              <w:spacing w:after="0" w:line="240" w:lineRule="auto"/>
              <w:ind w:left="0" w:firstLine="0"/>
              <w:jc w:val="center"/>
              <w:rPr>
                <w:rFonts w:ascii="Avenir" w:eastAsia="Avenir" w:hAnsi="Avenir" w:cs="Avenir"/>
                <w:sz w:val="20"/>
                <w:szCs w:val="20"/>
              </w:rPr>
            </w:pPr>
            <w:r>
              <w:rPr>
                <w:rFonts w:ascii="Avenir" w:eastAsia="Avenir" w:hAnsi="Avenir" w:cs="Avenir"/>
                <w:sz w:val="20"/>
                <w:szCs w:val="20"/>
              </w:rPr>
              <w:t>T</w:t>
            </w:r>
          </w:p>
        </w:tc>
        <w:tc>
          <w:tcPr>
            <w:tcW w:w="1780" w:type="dxa"/>
            <w:shd w:val="clear" w:color="auto" w:fill="FFC000"/>
          </w:tcPr>
          <w:p w:rsidR="00BF1CAB" w:rsidRDefault="00264E32">
            <w:pPr>
              <w:spacing w:after="0" w:line="240" w:lineRule="auto"/>
              <w:ind w:left="0" w:firstLine="0"/>
              <w:jc w:val="center"/>
              <w:rPr>
                <w:rFonts w:ascii="Avenir" w:eastAsia="Avenir" w:hAnsi="Avenir" w:cs="Avenir"/>
                <w:sz w:val="20"/>
                <w:szCs w:val="20"/>
              </w:rPr>
            </w:pPr>
            <w:r>
              <w:rPr>
                <w:rFonts w:ascii="Avenir" w:eastAsia="Avenir" w:hAnsi="Avenir" w:cs="Avenir"/>
                <w:sz w:val="20"/>
                <w:szCs w:val="20"/>
              </w:rPr>
              <w:t>H</w:t>
            </w:r>
          </w:p>
        </w:tc>
        <w:tc>
          <w:tcPr>
            <w:tcW w:w="1780" w:type="dxa"/>
            <w:shd w:val="clear" w:color="auto" w:fill="FFC000"/>
          </w:tcPr>
          <w:p w:rsidR="00BF1CAB" w:rsidRDefault="00264E32">
            <w:pPr>
              <w:spacing w:after="0" w:line="240" w:lineRule="auto"/>
              <w:ind w:left="0" w:firstLine="0"/>
              <w:jc w:val="center"/>
              <w:rPr>
                <w:rFonts w:ascii="Avenir" w:eastAsia="Avenir" w:hAnsi="Avenir" w:cs="Avenir"/>
                <w:sz w:val="20"/>
                <w:szCs w:val="20"/>
              </w:rPr>
            </w:pPr>
            <w:r>
              <w:rPr>
                <w:rFonts w:ascii="Avenir" w:eastAsia="Avenir" w:hAnsi="Avenir" w:cs="Avenir"/>
                <w:sz w:val="20"/>
                <w:szCs w:val="20"/>
              </w:rPr>
              <w:t>R</w:t>
            </w:r>
          </w:p>
        </w:tc>
        <w:tc>
          <w:tcPr>
            <w:tcW w:w="1760" w:type="dxa"/>
            <w:shd w:val="clear" w:color="auto" w:fill="FFC000"/>
          </w:tcPr>
          <w:p w:rsidR="00BF1CAB" w:rsidRDefault="00264E32">
            <w:pPr>
              <w:spacing w:after="0" w:line="240" w:lineRule="auto"/>
              <w:ind w:left="0" w:firstLine="0"/>
              <w:jc w:val="center"/>
              <w:rPr>
                <w:rFonts w:ascii="Avenir" w:eastAsia="Avenir" w:hAnsi="Avenir" w:cs="Avenir"/>
                <w:sz w:val="20"/>
                <w:szCs w:val="20"/>
              </w:rPr>
            </w:pPr>
            <w:r>
              <w:rPr>
                <w:rFonts w:ascii="Avenir" w:eastAsia="Avenir" w:hAnsi="Avenir" w:cs="Avenir"/>
                <w:sz w:val="20"/>
                <w:szCs w:val="20"/>
              </w:rPr>
              <w:t>I</w:t>
            </w:r>
          </w:p>
        </w:tc>
        <w:tc>
          <w:tcPr>
            <w:tcW w:w="1740" w:type="dxa"/>
            <w:shd w:val="clear" w:color="auto" w:fill="FFC000"/>
          </w:tcPr>
          <w:p w:rsidR="00BF1CAB" w:rsidRDefault="00264E32">
            <w:pPr>
              <w:spacing w:after="0" w:line="240" w:lineRule="auto"/>
              <w:ind w:left="0" w:firstLine="0"/>
              <w:jc w:val="center"/>
              <w:rPr>
                <w:rFonts w:ascii="Avenir" w:eastAsia="Avenir" w:hAnsi="Avenir" w:cs="Avenir"/>
                <w:sz w:val="20"/>
                <w:szCs w:val="20"/>
              </w:rPr>
            </w:pPr>
            <w:r>
              <w:rPr>
                <w:rFonts w:ascii="Avenir" w:eastAsia="Avenir" w:hAnsi="Avenir" w:cs="Avenir"/>
                <w:sz w:val="20"/>
                <w:szCs w:val="20"/>
              </w:rPr>
              <w:t>V</w:t>
            </w:r>
          </w:p>
        </w:tc>
        <w:tc>
          <w:tcPr>
            <w:tcW w:w="1780" w:type="dxa"/>
            <w:shd w:val="clear" w:color="auto" w:fill="FFC000"/>
          </w:tcPr>
          <w:p w:rsidR="00BF1CAB" w:rsidRDefault="00264E32">
            <w:pPr>
              <w:spacing w:after="0" w:line="240" w:lineRule="auto"/>
              <w:ind w:left="0" w:firstLine="0"/>
              <w:jc w:val="center"/>
              <w:rPr>
                <w:rFonts w:ascii="Avenir" w:eastAsia="Avenir" w:hAnsi="Avenir" w:cs="Avenir"/>
                <w:sz w:val="20"/>
                <w:szCs w:val="20"/>
              </w:rPr>
            </w:pPr>
            <w:r>
              <w:rPr>
                <w:rFonts w:ascii="Avenir" w:eastAsia="Avenir" w:hAnsi="Avenir" w:cs="Avenir"/>
                <w:sz w:val="20"/>
                <w:szCs w:val="20"/>
              </w:rPr>
              <w:t>E</w:t>
            </w:r>
          </w:p>
        </w:tc>
      </w:tr>
      <w:tr w:rsidR="00BF1CAB">
        <w:trPr>
          <w:trHeight w:val="878"/>
        </w:trPr>
        <w:tc>
          <w:tcPr>
            <w:tcW w:w="1780" w:type="dxa"/>
            <w:shd w:val="clear" w:color="auto" w:fill="CC0000"/>
          </w:tcPr>
          <w:p w:rsidR="00BF1CAB" w:rsidRDefault="00264E32">
            <w:pPr>
              <w:spacing w:after="0" w:line="240" w:lineRule="auto"/>
              <w:ind w:left="0" w:firstLine="0"/>
              <w:jc w:val="center"/>
              <w:rPr>
                <w:rFonts w:ascii="Avenir" w:eastAsia="Avenir" w:hAnsi="Avenir" w:cs="Avenir"/>
                <w:b/>
                <w:color w:val="FFFFFF"/>
                <w:sz w:val="22"/>
                <w:szCs w:val="22"/>
              </w:rPr>
            </w:pPr>
            <w:r>
              <w:rPr>
                <w:rFonts w:ascii="Avenir" w:eastAsia="Avenir" w:hAnsi="Avenir" w:cs="Avenir"/>
                <w:b/>
                <w:color w:val="FFFFFF"/>
                <w:sz w:val="22"/>
                <w:szCs w:val="22"/>
              </w:rPr>
              <w:t>Togetherness</w:t>
            </w:r>
          </w:p>
          <w:p w:rsidR="00BF1CAB" w:rsidRDefault="00BF1CAB">
            <w:pPr>
              <w:spacing w:after="0" w:line="240" w:lineRule="auto"/>
              <w:ind w:left="0" w:firstLine="0"/>
              <w:jc w:val="center"/>
              <w:rPr>
                <w:rFonts w:ascii="Avenir" w:eastAsia="Avenir" w:hAnsi="Avenir" w:cs="Avenir"/>
                <w:b/>
                <w:color w:val="FFFFFF"/>
                <w:sz w:val="22"/>
                <w:szCs w:val="22"/>
              </w:rPr>
            </w:pPr>
          </w:p>
        </w:tc>
        <w:tc>
          <w:tcPr>
            <w:tcW w:w="1780" w:type="dxa"/>
            <w:shd w:val="clear" w:color="auto" w:fill="CC0000"/>
          </w:tcPr>
          <w:p w:rsidR="00BF1CAB" w:rsidRDefault="00264E32">
            <w:pPr>
              <w:spacing w:after="0" w:line="240" w:lineRule="auto"/>
              <w:ind w:left="0" w:firstLine="0"/>
              <w:jc w:val="center"/>
              <w:rPr>
                <w:rFonts w:ascii="Avenir" w:eastAsia="Avenir" w:hAnsi="Avenir" w:cs="Avenir"/>
                <w:b/>
                <w:color w:val="FFFFFF"/>
                <w:sz w:val="22"/>
                <w:szCs w:val="22"/>
              </w:rPr>
            </w:pPr>
            <w:r>
              <w:rPr>
                <w:rFonts w:ascii="Avenir" w:eastAsia="Avenir" w:hAnsi="Avenir" w:cs="Avenir"/>
                <w:b/>
                <w:color w:val="FFFFFF"/>
                <w:sz w:val="22"/>
                <w:szCs w:val="22"/>
              </w:rPr>
              <w:t>Hunger to learn</w:t>
            </w:r>
          </w:p>
        </w:tc>
        <w:tc>
          <w:tcPr>
            <w:tcW w:w="1780" w:type="dxa"/>
            <w:shd w:val="clear" w:color="auto" w:fill="CC0000"/>
          </w:tcPr>
          <w:p w:rsidR="00BF1CAB" w:rsidRDefault="00264E32">
            <w:pPr>
              <w:spacing w:after="0" w:line="240" w:lineRule="auto"/>
              <w:ind w:left="0" w:firstLine="0"/>
              <w:jc w:val="center"/>
              <w:rPr>
                <w:rFonts w:ascii="Avenir" w:eastAsia="Avenir" w:hAnsi="Avenir" w:cs="Avenir"/>
                <w:b/>
                <w:color w:val="FFFFFF"/>
                <w:sz w:val="22"/>
                <w:szCs w:val="22"/>
              </w:rPr>
            </w:pPr>
            <w:r>
              <w:rPr>
                <w:rFonts w:ascii="Avenir" w:eastAsia="Avenir" w:hAnsi="Avenir" w:cs="Avenir"/>
                <w:b/>
                <w:color w:val="FFFFFF"/>
                <w:sz w:val="22"/>
                <w:szCs w:val="22"/>
              </w:rPr>
              <w:t>Resilience</w:t>
            </w:r>
          </w:p>
        </w:tc>
        <w:tc>
          <w:tcPr>
            <w:tcW w:w="1760" w:type="dxa"/>
            <w:shd w:val="clear" w:color="auto" w:fill="CC0000"/>
          </w:tcPr>
          <w:p w:rsidR="00BF1CAB" w:rsidRDefault="00264E32">
            <w:pPr>
              <w:spacing w:after="0" w:line="240" w:lineRule="auto"/>
              <w:ind w:left="0" w:firstLine="0"/>
              <w:jc w:val="center"/>
              <w:rPr>
                <w:rFonts w:ascii="Avenir" w:eastAsia="Avenir" w:hAnsi="Avenir" w:cs="Avenir"/>
                <w:b/>
                <w:color w:val="FFFFFF"/>
                <w:sz w:val="22"/>
                <w:szCs w:val="22"/>
              </w:rPr>
            </w:pPr>
            <w:r>
              <w:rPr>
                <w:rFonts w:ascii="Avenir" w:eastAsia="Avenir" w:hAnsi="Avenir" w:cs="Avenir"/>
                <w:b/>
                <w:color w:val="FFFFFF"/>
                <w:sz w:val="22"/>
                <w:szCs w:val="22"/>
              </w:rPr>
              <w:t>Inspiring individuals</w:t>
            </w:r>
          </w:p>
        </w:tc>
        <w:tc>
          <w:tcPr>
            <w:tcW w:w="1740" w:type="dxa"/>
            <w:shd w:val="clear" w:color="auto" w:fill="CC0000"/>
          </w:tcPr>
          <w:p w:rsidR="00BF1CAB" w:rsidRDefault="00264E32">
            <w:pPr>
              <w:spacing w:after="0" w:line="240" w:lineRule="auto"/>
              <w:ind w:left="0" w:firstLine="0"/>
              <w:jc w:val="center"/>
              <w:rPr>
                <w:rFonts w:ascii="Avenir" w:eastAsia="Avenir" w:hAnsi="Avenir" w:cs="Avenir"/>
                <w:b/>
                <w:color w:val="FFFFFF"/>
                <w:sz w:val="22"/>
                <w:szCs w:val="22"/>
              </w:rPr>
            </w:pPr>
            <w:r>
              <w:rPr>
                <w:rFonts w:ascii="Avenir" w:eastAsia="Avenir" w:hAnsi="Avenir" w:cs="Avenir"/>
                <w:b/>
                <w:color w:val="FFFFFF"/>
                <w:sz w:val="22"/>
                <w:szCs w:val="22"/>
              </w:rPr>
              <w:t>Valuing all</w:t>
            </w:r>
          </w:p>
          <w:p w:rsidR="00BF1CAB" w:rsidRDefault="00BF1CAB">
            <w:pPr>
              <w:spacing w:after="0" w:line="240" w:lineRule="auto"/>
              <w:ind w:left="0" w:firstLine="0"/>
              <w:jc w:val="center"/>
              <w:rPr>
                <w:rFonts w:ascii="Avenir" w:eastAsia="Avenir" w:hAnsi="Avenir" w:cs="Avenir"/>
                <w:b/>
                <w:color w:val="FFFFFF"/>
                <w:sz w:val="22"/>
                <w:szCs w:val="22"/>
              </w:rPr>
            </w:pPr>
          </w:p>
        </w:tc>
        <w:tc>
          <w:tcPr>
            <w:tcW w:w="1780" w:type="dxa"/>
            <w:shd w:val="clear" w:color="auto" w:fill="CC0000"/>
          </w:tcPr>
          <w:p w:rsidR="00BF1CAB" w:rsidRDefault="00264E32">
            <w:pPr>
              <w:spacing w:after="0" w:line="240" w:lineRule="auto"/>
              <w:ind w:left="0" w:firstLine="0"/>
              <w:jc w:val="center"/>
              <w:rPr>
                <w:rFonts w:ascii="Avenir" w:eastAsia="Avenir" w:hAnsi="Avenir" w:cs="Avenir"/>
                <w:b/>
                <w:color w:val="FFFFFF"/>
                <w:sz w:val="22"/>
                <w:szCs w:val="22"/>
              </w:rPr>
            </w:pPr>
            <w:r>
              <w:rPr>
                <w:rFonts w:ascii="Avenir" w:eastAsia="Avenir" w:hAnsi="Avenir" w:cs="Avenir"/>
                <w:b/>
                <w:color w:val="FFFFFF"/>
                <w:sz w:val="22"/>
                <w:szCs w:val="22"/>
              </w:rPr>
              <w:t>Excel and Enjoy</w:t>
            </w:r>
          </w:p>
        </w:tc>
      </w:tr>
      <w:tr w:rsidR="00BF1CAB">
        <w:trPr>
          <w:trHeight w:val="459"/>
        </w:trPr>
        <w:tc>
          <w:tcPr>
            <w:tcW w:w="1780" w:type="dxa"/>
          </w:tcPr>
          <w:p w:rsidR="00BF1CAB" w:rsidRDefault="00264E32">
            <w:pPr>
              <w:spacing w:after="0" w:line="240" w:lineRule="auto"/>
              <w:ind w:left="0" w:firstLine="0"/>
              <w:rPr>
                <w:rFonts w:ascii="Avenir" w:eastAsia="Avenir" w:hAnsi="Avenir" w:cs="Avenir"/>
                <w:sz w:val="20"/>
                <w:szCs w:val="20"/>
              </w:rPr>
            </w:pPr>
            <w:r>
              <w:rPr>
                <w:rFonts w:ascii="Avenir" w:eastAsia="Avenir" w:hAnsi="Avenir" w:cs="Avenir"/>
                <w:sz w:val="20"/>
                <w:szCs w:val="20"/>
                <w:highlight w:val="cyan"/>
              </w:rPr>
              <w:t>Succeed together</w:t>
            </w:r>
          </w:p>
        </w:tc>
        <w:tc>
          <w:tcPr>
            <w:tcW w:w="1780" w:type="dxa"/>
          </w:tcPr>
          <w:p w:rsidR="00BF1CAB" w:rsidRDefault="00BF1CAB">
            <w:pPr>
              <w:spacing w:after="0" w:line="240" w:lineRule="auto"/>
              <w:ind w:left="0" w:firstLine="0"/>
              <w:rPr>
                <w:rFonts w:ascii="Avenir" w:eastAsia="Avenir" w:hAnsi="Avenir" w:cs="Avenir"/>
                <w:sz w:val="20"/>
                <w:szCs w:val="20"/>
              </w:rPr>
            </w:pPr>
          </w:p>
        </w:tc>
        <w:tc>
          <w:tcPr>
            <w:tcW w:w="1780" w:type="dxa"/>
          </w:tcPr>
          <w:p w:rsidR="00BF1CAB" w:rsidRDefault="00BF1CAB">
            <w:pPr>
              <w:spacing w:after="0" w:line="240" w:lineRule="auto"/>
              <w:ind w:left="0" w:firstLine="0"/>
              <w:rPr>
                <w:rFonts w:ascii="Avenir" w:eastAsia="Avenir" w:hAnsi="Avenir" w:cs="Avenir"/>
                <w:sz w:val="20"/>
                <w:szCs w:val="20"/>
              </w:rPr>
            </w:pPr>
          </w:p>
        </w:tc>
        <w:tc>
          <w:tcPr>
            <w:tcW w:w="1760" w:type="dxa"/>
          </w:tcPr>
          <w:p w:rsidR="00BF1CAB" w:rsidRDefault="00264E32">
            <w:pPr>
              <w:spacing w:after="0" w:line="240" w:lineRule="auto"/>
              <w:ind w:left="0" w:firstLine="0"/>
              <w:rPr>
                <w:rFonts w:ascii="Avenir" w:eastAsia="Avenir" w:hAnsi="Avenir" w:cs="Avenir"/>
                <w:sz w:val="20"/>
                <w:szCs w:val="20"/>
              </w:rPr>
            </w:pPr>
            <w:r>
              <w:rPr>
                <w:rFonts w:ascii="Avenir" w:eastAsia="Avenir" w:hAnsi="Avenir" w:cs="Avenir"/>
                <w:sz w:val="20"/>
                <w:szCs w:val="20"/>
                <w:highlight w:val="cyan"/>
              </w:rPr>
              <w:t>Be yourself always</w:t>
            </w:r>
            <w:r>
              <w:rPr>
                <w:rFonts w:ascii="Avenir" w:eastAsia="Avenir" w:hAnsi="Avenir" w:cs="Avenir"/>
                <w:sz w:val="20"/>
                <w:szCs w:val="20"/>
              </w:rPr>
              <w:t xml:space="preserve"> </w:t>
            </w:r>
          </w:p>
        </w:tc>
        <w:tc>
          <w:tcPr>
            <w:tcW w:w="1740" w:type="dxa"/>
          </w:tcPr>
          <w:p w:rsidR="00BF1CAB" w:rsidRDefault="00264E32">
            <w:pPr>
              <w:spacing w:after="0" w:line="240" w:lineRule="auto"/>
              <w:ind w:left="0" w:firstLine="0"/>
              <w:rPr>
                <w:rFonts w:ascii="Avenir" w:eastAsia="Avenir" w:hAnsi="Avenir" w:cs="Avenir"/>
                <w:sz w:val="20"/>
                <w:szCs w:val="20"/>
              </w:rPr>
            </w:pPr>
            <w:r>
              <w:rPr>
                <w:rFonts w:ascii="Avenir" w:eastAsia="Avenir" w:hAnsi="Avenir" w:cs="Avenir"/>
                <w:sz w:val="20"/>
                <w:szCs w:val="20"/>
                <w:highlight w:val="cyan"/>
              </w:rPr>
              <w:t>Show you care</w:t>
            </w:r>
          </w:p>
        </w:tc>
        <w:tc>
          <w:tcPr>
            <w:tcW w:w="1780" w:type="dxa"/>
          </w:tcPr>
          <w:p w:rsidR="00BF1CAB" w:rsidRDefault="00264E32">
            <w:pPr>
              <w:spacing w:after="0" w:line="240" w:lineRule="auto"/>
              <w:ind w:left="0" w:firstLine="0"/>
              <w:rPr>
                <w:rFonts w:ascii="Avenir" w:eastAsia="Avenir" w:hAnsi="Avenir" w:cs="Avenir"/>
                <w:sz w:val="20"/>
                <w:szCs w:val="20"/>
              </w:rPr>
            </w:pPr>
            <w:r>
              <w:rPr>
                <w:rFonts w:ascii="Avenir" w:eastAsia="Avenir" w:hAnsi="Avenir" w:cs="Avenir"/>
                <w:sz w:val="20"/>
                <w:szCs w:val="20"/>
                <w:highlight w:val="cyan"/>
              </w:rPr>
              <w:t>Do what matters most</w:t>
            </w:r>
          </w:p>
        </w:tc>
      </w:tr>
    </w:tbl>
    <w:p w:rsidR="00BF1CAB" w:rsidRDefault="00BF1CAB">
      <w:pPr>
        <w:spacing w:after="160" w:line="259" w:lineRule="auto"/>
        <w:ind w:left="0" w:firstLine="0"/>
        <w:jc w:val="center"/>
      </w:pPr>
    </w:p>
    <w:p w:rsidR="00BF1CAB" w:rsidRDefault="00264E32">
      <w:pPr>
        <w:pStyle w:val="Heading1"/>
        <w:spacing w:after="272"/>
      </w:pPr>
      <w:r>
        <w:t xml:space="preserve">Principles and Objectives </w:t>
      </w:r>
    </w:p>
    <w:p w:rsidR="00BF1CAB" w:rsidRDefault="00264E32">
      <w:pPr>
        <w:spacing w:after="162" w:line="267" w:lineRule="auto"/>
        <w:ind w:left="0" w:firstLine="0"/>
      </w:pPr>
      <w:r>
        <w:rPr>
          <w:b/>
        </w:rPr>
        <w:t>Aims:</w:t>
      </w:r>
      <w:r>
        <w:t xml:space="preserve"> </w:t>
      </w:r>
    </w:p>
    <w:p w:rsidR="00BF1CAB" w:rsidRDefault="00264E32">
      <w:pPr>
        <w:spacing w:after="253"/>
        <w:ind w:left="0" w:right="6" w:firstLine="0"/>
      </w:pPr>
      <w:r>
        <w:t xml:space="preserve">We value all children at </w:t>
      </w:r>
      <w:r>
        <w:t>Co-op Academy Glebe</w:t>
      </w:r>
      <w:r>
        <w:t xml:space="preserve"> as equal but special. The Inclusion (SEND) Policy aims to provide every child with access to a broad, balanced and relevant curriculum. It is generally accepted that approximately 20% of all children have special needs at some time during their compulsory</w:t>
      </w:r>
      <w:r>
        <w:t xml:space="preserve"> education. It is the aim of the school to recognise and support all pupils with Special Educational Need and/or Disabilities (SEND) and any special provision made should relate to the individual needs of the pupils. We aim to create a secure and supportiv</w:t>
      </w:r>
      <w:r>
        <w:t xml:space="preserve">e environment where all pupils feel valued. </w:t>
      </w:r>
    </w:p>
    <w:p w:rsidR="00BF1CAB" w:rsidRDefault="00264E32">
      <w:pPr>
        <w:spacing w:after="227"/>
        <w:ind w:left="0" w:right="6" w:firstLine="0"/>
        <w:rPr>
          <w:b/>
        </w:rPr>
      </w:pPr>
      <w:r>
        <w:rPr>
          <w:b/>
        </w:rPr>
        <w:t xml:space="preserve">Definition of SEN: </w:t>
      </w:r>
    </w:p>
    <w:p w:rsidR="00BF1CAB" w:rsidRDefault="00264E32">
      <w:pPr>
        <w:spacing w:after="227"/>
        <w:ind w:left="0" w:right="6" w:firstLine="0"/>
        <w:jc w:val="center"/>
        <w:rPr>
          <w:i/>
        </w:rPr>
      </w:pPr>
      <w:r>
        <w:rPr>
          <w:i/>
          <w:color w:val="202A30"/>
          <w:highlight w:val="white"/>
        </w:rPr>
        <w:t>A child or young person has special educational needs and disabilities if they have a learning difficulty and/or a disability that means they need special health and education support, we sho</w:t>
      </w:r>
      <w:r>
        <w:rPr>
          <w:i/>
          <w:color w:val="202A30"/>
          <w:highlight w:val="white"/>
        </w:rPr>
        <w:t>rten this to SEND.</w:t>
      </w:r>
    </w:p>
    <w:p w:rsidR="00BF1CAB" w:rsidRDefault="00264E32">
      <w:pPr>
        <w:spacing w:after="245" w:line="250" w:lineRule="auto"/>
        <w:ind w:left="137" w:firstLine="139"/>
      </w:pPr>
      <w:r>
        <w:rPr>
          <w:i/>
        </w:rPr>
        <w:t xml:space="preserve">A child of compulsory school age or a young person has a learning difficulty if he or she: </w:t>
      </w:r>
    </w:p>
    <w:p w:rsidR="00BF1CAB" w:rsidRDefault="00264E32">
      <w:pPr>
        <w:numPr>
          <w:ilvl w:val="0"/>
          <w:numId w:val="7"/>
        </w:numPr>
        <w:spacing w:after="65" w:line="250" w:lineRule="auto"/>
        <w:ind w:left="1210" w:right="6" w:hanging="360"/>
      </w:pPr>
      <w:r>
        <w:rPr>
          <w:i/>
        </w:rPr>
        <w:t xml:space="preserve">Has significantly greater difficulty in learning than the majority of others of the same age, or </w:t>
      </w:r>
    </w:p>
    <w:p w:rsidR="00BF1CAB" w:rsidRDefault="00264E32">
      <w:pPr>
        <w:numPr>
          <w:ilvl w:val="0"/>
          <w:numId w:val="7"/>
        </w:numPr>
        <w:spacing w:after="245" w:line="250" w:lineRule="auto"/>
        <w:ind w:left="1210" w:right="6" w:hanging="360"/>
      </w:pPr>
      <w:r>
        <w:rPr>
          <w:i/>
        </w:rPr>
        <w:lastRenderedPageBreak/>
        <w:t xml:space="preserve">Has a disability that prevents or hinders him or her from making use of facilities of a kind generally provided for others of the same age in mainstream schools or mainstream post-16 institutions  </w:t>
      </w:r>
    </w:p>
    <w:p w:rsidR="00BF1CAB" w:rsidRDefault="00264E32">
      <w:pPr>
        <w:spacing w:after="245" w:line="250" w:lineRule="auto"/>
        <w:ind w:left="0" w:firstLine="0"/>
      </w:pPr>
      <w:r>
        <w:rPr>
          <w:i/>
        </w:rPr>
        <w:t xml:space="preserve">(The Code of Practice </w:t>
      </w:r>
      <w:r>
        <w:rPr>
          <w:i/>
        </w:rPr>
        <w:t>2015</w:t>
      </w:r>
      <w:r>
        <w:rPr>
          <w:i/>
        </w:rPr>
        <w:t>)</w:t>
      </w:r>
      <w:r>
        <w:t xml:space="preserve"> </w:t>
      </w:r>
    </w:p>
    <w:p w:rsidR="00BF1CAB" w:rsidRDefault="00264E32">
      <w:pPr>
        <w:spacing w:after="230"/>
        <w:ind w:left="165" w:right="257" w:firstLine="0"/>
      </w:pPr>
      <w:r>
        <w:t>There are four main areas of SEND identified within the SEND Code of Practice (2015). All areas of SEND can be considered as falling under four broad areas.</w:t>
      </w:r>
    </w:p>
    <w:p w:rsidR="00BF1CAB" w:rsidRDefault="00264E32">
      <w:pPr>
        <w:spacing w:after="230"/>
        <w:ind w:left="165" w:right="257" w:firstLine="0"/>
        <w:rPr>
          <w:b/>
        </w:rPr>
      </w:pPr>
      <w:r>
        <w:rPr>
          <w:b/>
        </w:rPr>
        <w:t>1. Communication and interaction</w:t>
      </w:r>
    </w:p>
    <w:p w:rsidR="00BF1CAB" w:rsidRDefault="00264E32">
      <w:pPr>
        <w:spacing w:after="230"/>
        <w:ind w:left="165" w:right="257" w:firstLine="0"/>
      </w:pPr>
      <w:r>
        <w:t>That is, children that find communicating and understanding langua</w:t>
      </w:r>
      <w:r>
        <w:t>ge difficult. This may be due to a specific language difficulty or conditions such as autism, pragmatic difficulties or sensory processing disorder.</w:t>
      </w:r>
    </w:p>
    <w:p w:rsidR="00BF1CAB" w:rsidRDefault="00264E32">
      <w:pPr>
        <w:spacing w:after="230"/>
        <w:ind w:left="165" w:right="257" w:firstLine="0"/>
        <w:rPr>
          <w:b/>
        </w:rPr>
      </w:pPr>
      <w:r>
        <w:rPr>
          <w:b/>
        </w:rPr>
        <w:t>2. Cognition and learning</w:t>
      </w:r>
    </w:p>
    <w:p w:rsidR="00BF1CAB" w:rsidRDefault="00264E32">
      <w:pPr>
        <w:spacing w:after="230"/>
        <w:ind w:left="165" w:right="257" w:firstLine="0"/>
      </w:pPr>
      <w:r>
        <w:t xml:space="preserve">That is, children that have learning difficulties that mean they are not able to </w:t>
      </w:r>
      <w:r>
        <w:t>learn basic numeracy or literacy skills. A child or young person with a specific learning difficulty (</w:t>
      </w:r>
      <w:proofErr w:type="spellStart"/>
      <w:r>
        <w:t>SpLD</w:t>
      </w:r>
      <w:proofErr w:type="spellEnd"/>
      <w:r>
        <w:t>) may have difficulty with one or more aspects of learning.</w:t>
      </w:r>
    </w:p>
    <w:p w:rsidR="00BF1CAB" w:rsidRDefault="00264E32">
      <w:pPr>
        <w:spacing w:after="230"/>
        <w:ind w:left="165" w:right="257" w:firstLine="0"/>
      </w:pPr>
      <w:r>
        <w:t>This includes a range of conditions such as dyslexia (difficulties with reading and spelli</w:t>
      </w:r>
      <w:r>
        <w:t>ng); dyscalculia (maths); dyspraxia (co-ordination) and dysgraphia (writing). Children with severe learning difficulties may also have difficulties in acquiring basic skills in any area and this may also impede their physical development.</w:t>
      </w:r>
    </w:p>
    <w:p w:rsidR="00BF1CAB" w:rsidRDefault="00264E32">
      <w:pPr>
        <w:spacing w:after="230"/>
        <w:ind w:left="165" w:right="257" w:firstLine="0"/>
        <w:rPr>
          <w:b/>
        </w:rPr>
      </w:pPr>
      <w:r>
        <w:rPr>
          <w:b/>
        </w:rPr>
        <w:t>3. Social, mental</w:t>
      </w:r>
      <w:r>
        <w:rPr>
          <w:b/>
        </w:rPr>
        <w:t xml:space="preserve"> and emotional health</w:t>
      </w:r>
    </w:p>
    <w:p w:rsidR="00BF1CAB" w:rsidRDefault="00264E32">
      <w:pPr>
        <w:spacing w:after="230"/>
        <w:ind w:left="165" w:right="257" w:firstLine="0"/>
      </w:pPr>
      <w:r>
        <w:t>That is, children that have severe difficulties in managing their emotions or behaviour. They can include low mood (anxiety or depression), problems of conduct (oppositional problems and more severe conduct problems including aggressi</w:t>
      </w:r>
      <w:r>
        <w:t>on), self-harming, substance abuse or eating disorders.</w:t>
      </w:r>
    </w:p>
    <w:p w:rsidR="00BF1CAB" w:rsidRDefault="00264E32">
      <w:pPr>
        <w:spacing w:after="230"/>
        <w:ind w:left="165" w:right="257" w:firstLine="0"/>
      </w:pPr>
      <w:r>
        <w:t>Some children and young people may have other recognised disorders such as attention deficit disorder (ADD), attention deficit hyperactive disorder (ADHD), attachment disorder, anxiety disorder, or, m</w:t>
      </w:r>
      <w:r>
        <w:t>ore rarely, psychosis, schizophrenia or bipolar. Children with ASD can have comorbidities of social, emotional and mental health difficulties.</w:t>
      </w:r>
    </w:p>
    <w:p w:rsidR="00BF1CAB" w:rsidRDefault="00264E32">
      <w:pPr>
        <w:spacing w:after="230"/>
        <w:ind w:left="165" w:right="257" w:firstLine="0"/>
        <w:rPr>
          <w:b/>
        </w:rPr>
      </w:pPr>
      <w:r>
        <w:rPr>
          <w:b/>
        </w:rPr>
        <w:t>4. Sensory and/or physical</w:t>
      </w:r>
    </w:p>
    <w:p w:rsidR="00BF1CAB" w:rsidRDefault="00264E32">
      <w:pPr>
        <w:spacing w:after="230"/>
        <w:ind w:left="165" w:right="257" w:firstLine="0"/>
      </w:pPr>
      <w:r>
        <w:t xml:space="preserve">That is, children with physical or sensory disabilities which affect their ability to </w:t>
      </w:r>
      <w:r>
        <w:t>access the environment or learning. This may include visual or hearing impairment, cerebral palsy or congenital conditions, injury or disease.</w:t>
      </w:r>
    </w:p>
    <w:p w:rsidR="00BF1CAB" w:rsidRDefault="00BF1CAB">
      <w:pPr>
        <w:spacing w:after="230"/>
        <w:ind w:left="165" w:right="257" w:firstLine="0"/>
      </w:pPr>
    </w:p>
    <w:p w:rsidR="00BF1CAB" w:rsidRDefault="00264E32">
      <w:pPr>
        <w:spacing w:after="230"/>
        <w:ind w:left="165" w:right="257" w:firstLine="0"/>
      </w:pPr>
      <w:r>
        <w:t>The above definitions are termed ‘broad’ areas as some children may have difficulties in one of more areas or it</w:t>
      </w:r>
      <w:r>
        <w:t xml:space="preserve"> may not be clear which area their difficulty falls under. However, most children’s needs will come under one of the above.</w:t>
      </w:r>
    </w:p>
    <w:p w:rsidR="00BF1CAB" w:rsidRDefault="00264E32">
      <w:pPr>
        <w:spacing w:after="230"/>
        <w:ind w:left="165" w:right="257" w:firstLine="0"/>
        <w:rPr>
          <w:b/>
        </w:rPr>
      </w:pPr>
      <w:r>
        <w:rPr>
          <w:b/>
        </w:rPr>
        <w:t>What is an Education Health Care Plan (EHC)?</w:t>
      </w:r>
    </w:p>
    <w:p w:rsidR="00BF1CAB" w:rsidRDefault="00264E32">
      <w:pPr>
        <w:spacing w:after="230"/>
        <w:ind w:left="165" w:right="257" w:firstLine="0"/>
      </w:pPr>
      <w:r>
        <w:lastRenderedPageBreak/>
        <w:t>Under the Code of Practice, local authorities have a responsibility to provide an EHC p</w:t>
      </w:r>
      <w:r>
        <w:t xml:space="preserve">lan for a child with SEND if it feels those needs mean that the child will be at a disadvantage without additional support. An EHC plan explains the child’s difficulties and sets out long-term and short-term outcomes for the child. The local authority and </w:t>
      </w:r>
      <w:r>
        <w:t>the educational provider will then work towards those outcomes.</w:t>
      </w:r>
    </w:p>
    <w:p w:rsidR="00BF1CAB" w:rsidRDefault="00264E32">
      <w:pPr>
        <w:spacing w:after="198" w:line="478" w:lineRule="auto"/>
        <w:ind w:left="165" w:right="1430" w:firstLine="139"/>
      </w:pPr>
      <w:r>
        <w:rPr>
          <w:b/>
        </w:rPr>
        <w:t>Guiding Principles</w:t>
      </w:r>
      <w:r>
        <w:t>: The guiding principles of the SEN</w:t>
      </w:r>
      <w:r>
        <w:t>D</w:t>
      </w:r>
      <w:r>
        <w:t xml:space="preserve"> policy are: </w:t>
      </w:r>
    </w:p>
    <w:p w:rsidR="00BF1CAB" w:rsidRDefault="00264E32">
      <w:pPr>
        <w:numPr>
          <w:ilvl w:val="0"/>
          <w:numId w:val="6"/>
        </w:numPr>
        <w:spacing w:after="0"/>
        <w:ind w:right="6"/>
      </w:pPr>
      <w:r>
        <w:t xml:space="preserve">To identify and assess the needs of all pupils </w:t>
      </w:r>
    </w:p>
    <w:p w:rsidR="00BF1CAB" w:rsidRDefault="00264E32">
      <w:pPr>
        <w:numPr>
          <w:ilvl w:val="0"/>
          <w:numId w:val="6"/>
        </w:numPr>
        <w:spacing w:after="0"/>
        <w:ind w:right="6"/>
      </w:pPr>
      <w:r>
        <w:t xml:space="preserve">To plan, implement, assess and record education programs and other appropriate intervention for those children who are identified as having SEND </w:t>
      </w:r>
    </w:p>
    <w:p w:rsidR="00BF1CAB" w:rsidRDefault="00264E32">
      <w:pPr>
        <w:numPr>
          <w:ilvl w:val="0"/>
          <w:numId w:val="6"/>
        </w:numPr>
        <w:spacing w:after="0"/>
        <w:ind w:right="6"/>
      </w:pPr>
      <w:r>
        <w:t>To liaise with and actively involve the LA, SEND support services, external agencies, staff, parents and child</w:t>
      </w:r>
      <w:r>
        <w:t xml:space="preserve">ren as appropriate in the processes of assessment, support and evaluation </w:t>
      </w:r>
    </w:p>
    <w:p w:rsidR="00BF1CAB" w:rsidRDefault="00264E32">
      <w:pPr>
        <w:numPr>
          <w:ilvl w:val="0"/>
          <w:numId w:val="6"/>
        </w:numPr>
        <w:spacing w:after="0"/>
        <w:ind w:right="6"/>
      </w:pPr>
      <w:r>
        <w:t xml:space="preserve">To monitor and evaluate all procedures and to initiate changes, which will benefit the pupils and are consistent with the </w:t>
      </w:r>
      <w:r>
        <w:rPr>
          <w:b/>
        </w:rPr>
        <w:t>School Development Plan</w:t>
      </w:r>
      <w:r>
        <w:t xml:space="preserve"> </w:t>
      </w:r>
    </w:p>
    <w:p w:rsidR="00BF1CAB" w:rsidRDefault="00264E32">
      <w:pPr>
        <w:numPr>
          <w:ilvl w:val="0"/>
          <w:numId w:val="6"/>
        </w:numPr>
        <w:spacing w:after="220" w:line="259" w:lineRule="auto"/>
        <w:rPr>
          <w:b/>
        </w:rPr>
      </w:pPr>
      <w:r>
        <w:rPr>
          <w:b/>
        </w:rPr>
        <w:t xml:space="preserve"> </w:t>
      </w:r>
    </w:p>
    <w:p w:rsidR="00BF1CAB" w:rsidRDefault="00264E32">
      <w:pPr>
        <w:pStyle w:val="Heading1"/>
        <w:ind w:left="165" w:firstLine="0"/>
      </w:pPr>
      <w:r>
        <w:t>Specific Objectives</w:t>
      </w:r>
      <w:r>
        <w:rPr>
          <w:b w:val="0"/>
        </w:rPr>
        <w:t xml:space="preserve"> </w:t>
      </w:r>
    </w:p>
    <w:p w:rsidR="00BF1CAB" w:rsidRDefault="00264E32">
      <w:pPr>
        <w:numPr>
          <w:ilvl w:val="0"/>
          <w:numId w:val="5"/>
        </w:numPr>
        <w:spacing w:after="0"/>
        <w:ind w:right="6"/>
      </w:pPr>
      <w:r>
        <w:t>To continue</w:t>
      </w:r>
      <w:r>
        <w:t xml:space="preserve"> to implement and develop staff awareness of the DfES Code of Practice </w:t>
      </w:r>
    </w:p>
    <w:p w:rsidR="00BF1CAB" w:rsidRDefault="00264E32">
      <w:pPr>
        <w:numPr>
          <w:ilvl w:val="0"/>
          <w:numId w:val="5"/>
        </w:numPr>
        <w:spacing w:after="0"/>
        <w:ind w:right="6"/>
      </w:pPr>
      <w:r>
        <w:t>T</w:t>
      </w:r>
      <w:r>
        <w:t xml:space="preserve">o provide updated training for the whole school on Dyslexia awareness &amp; Autism Awareness </w:t>
      </w:r>
    </w:p>
    <w:p w:rsidR="00BF1CAB" w:rsidRDefault="00264E32">
      <w:pPr>
        <w:numPr>
          <w:ilvl w:val="0"/>
          <w:numId w:val="5"/>
        </w:numPr>
        <w:spacing w:after="0"/>
        <w:ind w:right="6"/>
      </w:pPr>
      <w:r>
        <w:t>To identify potential concerns of pupils prior to entry into the Foundation stage through hom</w:t>
      </w:r>
      <w:r>
        <w:t xml:space="preserve">e visits </w:t>
      </w:r>
    </w:p>
    <w:p w:rsidR="00BF1CAB" w:rsidRDefault="00264E32">
      <w:pPr>
        <w:numPr>
          <w:ilvl w:val="0"/>
          <w:numId w:val="5"/>
        </w:numPr>
        <w:spacing w:after="0"/>
        <w:ind w:right="6"/>
      </w:pPr>
      <w:r>
        <w:t xml:space="preserve">To continue to develop effective provision for pupils on SEND register through provision mapping </w:t>
      </w:r>
    </w:p>
    <w:p w:rsidR="00BF1CAB" w:rsidRDefault="00264E32">
      <w:pPr>
        <w:numPr>
          <w:ilvl w:val="0"/>
          <w:numId w:val="5"/>
        </w:numPr>
        <w:spacing w:after="0"/>
        <w:ind w:right="6"/>
      </w:pPr>
      <w:r>
        <w:t xml:space="preserve">To Track data &amp; explore concerns through </w:t>
      </w:r>
      <w:r>
        <w:rPr>
          <w:b/>
        </w:rPr>
        <w:t>in-school mon</w:t>
      </w:r>
      <w:r>
        <w:rPr>
          <w:b/>
        </w:rPr>
        <w:t>itoring and</w:t>
      </w:r>
      <w:r>
        <w:rPr>
          <w:b/>
        </w:rPr>
        <w:t xml:space="preserve"> testing</w:t>
      </w:r>
      <w:r>
        <w:t xml:space="preserve">  </w:t>
      </w:r>
    </w:p>
    <w:p w:rsidR="00BF1CAB" w:rsidRDefault="00264E32">
      <w:pPr>
        <w:numPr>
          <w:ilvl w:val="0"/>
          <w:numId w:val="5"/>
        </w:numPr>
        <w:spacing w:after="0"/>
        <w:ind w:right="6"/>
      </w:pPr>
      <w:r>
        <w:t>To explore the notion of SENDs underperforming with all concerns raised.</w:t>
      </w:r>
      <w:r>
        <w:t xml:space="preserve"> </w:t>
      </w:r>
    </w:p>
    <w:p w:rsidR="00BF1CAB" w:rsidRDefault="00264E32">
      <w:pPr>
        <w:numPr>
          <w:ilvl w:val="0"/>
          <w:numId w:val="5"/>
        </w:numPr>
        <w:ind w:right="6"/>
      </w:pPr>
      <w:r>
        <w:t xml:space="preserve">To regularly update parents on progress. </w:t>
      </w:r>
    </w:p>
    <w:p w:rsidR="00BF1CAB" w:rsidRDefault="00264E32">
      <w:pPr>
        <w:spacing w:after="172" w:line="259" w:lineRule="auto"/>
        <w:ind w:left="994" w:firstLine="0"/>
      </w:pPr>
      <w:r>
        <w:rPr>
          <w:b/>
        </w:rPr>
        <w:t xml:space="preserve"> </w:t>
      </w:r>
    </w:p>
    <w:p w:rsidR="00BF1CAB" w:rsidRDefault="00264E32">
      <w:pPr>
        <w:spacing w:after="171" w:line="259" w:lineRule="auto"/>
        <w:ind w:left="128" w:firstLine="0"/>
        <w:jc w:val="center"/>
      </w:pPr>
      <w:r>
        <w:rPr>
          <w:b/>
        </w:rPr>
        <w:t xml:space="preserve">The objectives outlined above will be evaluated either termly or annually depending on need. </w:t>
      </w:r>
    </w:p>
    <w:p w:rsidR="00BF1CAB" w:rsidRDefault="00264E32">
      <w:pPr>
        <w:spacing w:after="0" w:line="259" w:lineRule="auto"/>
        <w:ind w:left="0" w:firstLine="0"/>
      </w:pPr>
      <w:r>
        <w:t xml:space="preserve"> </w:t>
      </w:r>
    </w:p>
    <w:tbl>
      <w:tblPr>
        <w:tblStyle w:val="a2"/>
        <w:tblW w:w="97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81"/>
        <w:gridCol w:w="4882"/>
      </w:tblGrid>
      <w:tr w:rsidR="00BF1CAB">
        <w:tc>
          <w:tcPr>
            <w:tcW w:w="4881" w:type="dxa"/>
            <w:shd w:val="clear" w:color="auto" w:fill="auto"/>
            <w:tcMar>
              <w:top w:w="100" w:type="dxa"/>
              <w:left w:w="100" w:type="dxa"/>
              <w:bottom w:w="100" w:type="dxa"/>
              <w:right w:w="100" w:type="dxa"/>
            </w:tcMar>
          </w:tcPr>
          <w:p w:rsidR="00BF1CAB" w:rsidRDefault="00264E32">
            <w:pPr>
              <w:widowControl w:val="0"/>
              <w:pBdr>
                <w:top w:val="nil"/>
                <w:left w:val="nil"/>
                <w:bottom w:val="nil"/>
                <w:right w:val="nil"/>
                <w:between w:val="nil"/>
              </w:pBdr>
              <w:spacing w:after="0" w:line="240" w:lineRule="auto"/>
              <w:ind w:left="0" w:firstLine="0"/>
              <w:jc w:val="center"/>
            </w:pPr>
            <w:r>
              <w:rPr>
                <w:noProof/>
              </w:rPr>
              <w:drawing>
                <wp:inline distT="114300" distB="114300" distL="114300" distR="114300">
                  <wp:extent cx="1333500" cy="1714500"/>
                  <wp:effectExtent l="0" t="0" r="0" b="0"/>
                  <wp:docPr id="400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333500" cy="1714500"/>
                          </a:xfrm>
                          <a:prstGeom prst="rect">
                            <a:avLst/>
                          </a:prstGeom>
                          <a:ln/>
                        </pic:spPr>
                      </pic:pic>
                    </a:graphicData>
                  </a:graphic>
                </wp:inline>
              </w:drawing>
            </w:r>
          </w:p>
        </w:tc>
        <w:tc>
          <w:tcPr>
            <w:tcW w:w="4881" w:type="dxa"/>
            <w:shd w:val="clear" w:color="auto" w:fill="auto"/>
            <w:tcMar>
              <w:top w:w="100" w:type="dxa"/>
              <w:left w:w="100" w:type="dxa"/>
              <w:bottom w:w="100" w:type="dxa"/>
              <w:right w:w="100" w:type="dxa"/>
            </w:tcMar>
          </w:tcPr>
          <w:p w:rsidR="00BF1CAB" w:rsidRDefault="00264E32">
            <w:pPr>
              <w:widowControl w:val="0"/>
              <w:pBdr>
                <w:top w:val="nil"/>
                <w:left w:val="nil"/>
                <w:bottom w:val="nil"/>
                <w:right w:val="nil"/>
                <w:between w:val="nil"/>
              </w:pBdr>
              <w:spacing w:after="0" w:line="240" w:lineRule="auto"/>
              <w:ind w:left="0" w:firstLine="0"/>
              <w:jc w:val="center"/>
            </w:pPr>
            <w:r>
              <w:rPr>
                <w:noProof/>
              </w:rPr>
              <w:drawing>
                <wp:inline distT="114300" distB="114300" distL="114300" distR="114300">
                  <wp:extent cx="1333500" cy="1714500"/>
                  <wp:effectExtent l="0" t="0" r="0" b="0"/>
                  <wp:docPr id="400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333500" cy="1714500"/>
                          </a:xfrm>
                          <a:prstGeom prst="rect">
                            <a:avLst/>
                          </a:prstGeom>
                          <a:ln/>
                        </pic:spPr>
                      </pic:pic>
                    </a:graphicData>
                  </a:graphic>
                </wp:inline>
              </w:drawing>
            </w:r>
          </w:p>
        </w:tc>
      </w:tr>
      <w:tr w:rsidR="00BF1CAB">
        <w:tc>
          <w:tcPr>
            <w:tcW w:w="4881" w:type="dxa"/>
            <w:shd w:val="clear" w:color="auto" w:fill="auto"/>
            <w:tcMar>
              <w:top w:w="100" w:type="dxa"/>
              <w:left w:w="100" w:type="dxa"/>
              <w:bottom w:w="100" w:type="dxa"/>
              <w:right w:w="100" w:type="dxa"/>
            </w:tcMar>
          </w:tcPr>
          <w:p w:rsidR="00BF1CAB" w:rsidRDefault="00264E32">
            <w:pPr>
              <w:widowControl w:val="0"/>
              <w:pBdr>
                <w:top w:val="nil"/>
                <w:left w:val="nil"/>
                <w:bottom w:val="nil"/>
                <w:right w:val="nil"/>
                <w:between w:val="nil"/>
              </w:pBdr>
              <w:spacing w:after="0" w:line="240" w:lineRule="auto"/>
              <w:ind w:left="0" w:firstLine="0"/>
              <w:jc w:val="center"/>
              <w:rPr>
                <w:b/>
              </w:rPr>
            </w:pPr>
            <w:r>
              <w:rPr>
                <w:b/>
              </w:rPr>
              <w:t xml:space="preserve">Assistant Head Teacher: </w:t>
            </w:r>
            <w:proofErr w:type="spellStart"/>
            <w:r>
              <w:rPr>
                <w:b/>
              </w:rPr>
              <w:t>SENDCo</w:t>
            </w:r>
            <w:proofErr w:type="spellEnd"/>
            <w:r>
              <w:rPr>
                <w:b/>
              </w:rPr>
              <w:t xml:space="preserve"> (Inclusion and Behaviour)</w:t>
            </w:r>
          </w:p>
        </w:tc>
        <w:tc>
          <w:tcPr>
            <w:tcW w:w="4881" w:type="dxa"/>
            <w:shd w:val="clear" w:color="auto" w:fill="auto"/>
            <w:tcMar>
              <w:top w:w="100" w:type="dxa"/>
              <w:left w:w="100" w:type="dxa"/>
              <w:bottom w:w="100" w:type="dxa"/>
              <w:right w:w="100" w:type="dxa"/>
            </w:tcMar>
          </w:tcPr>
          <w:p w:rsidR="00BF1CAB" w:rsidRDefault="00264E32">
            <w:pPr>
              <w:widowControl w:val="0"/>
              <w:pBdr>
                <w:top w:val="nil"/>
                <w:left w:val="nil"/>
                <w:bottom w:val="nil"/>
                <w:right w:val="nil"/>
                <w:between w:val="nil"/>
              </w:pBdr>
              <w:spacing w:after="0" w:line="240" w:lineRule="auto"/>
              <w:ind w:left="0" w:firstLine="0"/>
              <w:jc w:val="center"/>
              <w:rPr>
                <w:b/>
              </w:rPr>
            </w:pPr>
            <w:r>
              <w:rPr>
                <w:b/>
              </w:rPr>
              <w:t xml:space="preserve">Mrs Laura Bull: </w:t>
            </w:r>
            <w:proofErr w:type="spellStart"/>
            <w:r>
              <w:rPr>
                <w:b/>
              </w:rPr>
              <w:t>SENDCo</w:t>
            </w:r>
            <w:proofErr w:type="spellEnd"/>
            <w:r>
              <w:rPr>
                <w:b/>
              </w:rPr>
              <w:t xml:space="preserve"> Assistant </w:t>
            </w:r>
          </w:p>
        </w:tc>
      </w:tr>
    </w:tbl>
    <w:p w:rsidR="00BF1CAB" w:rsidRDefault="00BF1CAB">
      <w:pPr>
        <w:spacing w:after="0" w:line="259" w:lineRule="auto"/>
        <w:ind w:left="0" w:firstLine="0"/>
      </w:pPr>
    </w:p>
    <w:p w:rsidR="00BF1CAB" w:rsidRDefault="00264E32">
      <w:pPr>
        <w:spacing w:after="207" w:line="267" w:lineRule="auto"/>
        <w:ind w:left="165" w:firstLine="139"/>
      </w:pPr>
      <w:r>
        <w:rPr>
          <w:b/>
        </w:rPr>
        <w:t xml:space="preserve">The </w:t>
      </w:r>
      <w:proofErr w:type="spellStart"/>
      <w:r>
        <w:rPr>
          <w:b/>
        </w:rPr>
        <w:t>SENDCo</w:t>
      </w:r>
      <w:proofErr w:type="spellEnd"/>
      <w:r>
        <w:rPr>
          <w:b/>
        </w:rPr>
        <w:t xml:space="preserve"> </w:t>
      </w:r>
      <w:r>
        <w:rPr>
          <w:b/>
        </w:rPr>
        <w:t xml:space="preserve">will: </w:t>
      </w:r>
    </w:p>
    <w:p w:rsidR="00BF1CAB" w:rsidRDefault="00264E32">
      <w:pPr>
        <w:numPr>
          <w:ilvl w:val="0"/>
          <w:numId w:val="1"/>
        </w:numPr>
        <w:pBdr>
          <w:top w:val="nil"/>
          <w:left w:val="nil"/>
          <w:bottom w:val="nil"/>
          <w:right w:val="nil"/>
          <w:between w:val="nil"/>
        </w:pBdr>
        <w:spacing w:after="0" w:line="246" w:lineRule="auto"/>
        <w:ind w:right="6" w:hanging="360"/>
      </w:pPr>
      <w:r>
        <w:lastRenderedPageBreak/>
        <w:t xml:space="preserve">Review the school SEND policy in conjunction with the </w:t>
      </w:r>
      <w:r>
        <w:t>Head of School</w:t>
      </w:r>
      <w:r>
        <w:t xml:space="preserve">, Staff and Governors </w:t>
      </w:r>
    </w:p>
    <w:p w:rsidR="00BF1CAB" w:rsidRDefault="00264E32">
      <w:pPr>
        <w:numPr>
          <w:ilvl w:val="0"/>
          <w:numId w:val="1"/>
        </w:numPr>
        <w:pBdr>
          <w:top w:val="nil"/>
          <w:left w:val="nil"/>
          <w:bottom w:val="nil"/>
          <w:right w:val="nil"/>
          <w:between w:val="nil"/>
        </w:pBdr>
        <w:spacing w:after="0" w:line="246" w:lineRule="auto"/>
        <w:ind w:right="6" w:hanging="360"/>
      </w:pPr>
      <w:r>
        <w:t xml:space="preserve">Report the state of </w:t>
      </w:r>
      <w:r>
        <w:t>SEND</w:t>
      </w:r>
      <w:r>
        <w:t xml:space="preserve"> at </w:t>
      </w:r>
      <w:r>
        <w:t>Co-op Academy Glebe</w:t>
      </w:r>
      <w:r>
        <w:t xml:space="preserve"> to the Governors </w:t>
      </w:r>
    </w:p>
    <w:p w:rsidR="00BF1CAB" w:rsidRDefault="00264E32">
      <w:pPr>
        <w:numPr>
          <w:ilvl w:val="0"/>
          <w:numId w:val="1"/>
        </w:numPr>
        <w:pBdr>
          <w:top w:val="nil"/>
          <w:left w:val="nil"/>
          <w:bottom w:val="nil"/>
          <w:right w:val="nil"/>
          <w:between w:val="nil"/>
        </w:pBdr>
        <w:spacing w:after="0" w:line="246" w:lineRule="auto"/>
        <w:ind w:right="6" w:hanging="360"/>
      </w:pPr>
      <w:r>
        <w:t xml:space="preserve">Be responsible for the day to day operation of the SEND policy </w:t>
      </w:r>
    </w:p>
    <w:p w:rsidR="00BF1CAB" w:rsidRDefault="00264E32">
      <w:pPr>
        <w:numPr>
          <w:ilvl w:val="0"/>
          <w:numId w:val="1"/>
        </w:numPr>
        <w:pBdr>
          <w:top w:val="nil"/>
          <w:left w:val="nil"/>
          <w:bottom w:val="nil"/>
          <w:right w:val="nil"/>
          <w:between w:val="nil"/>
        </w:pBdr>
        <w:spacing w:after="0" w:line="246" w:lineRule="auto"/>
        <w:ind w:right="6" w:hanging="360"/>
      </w:pPr>
      <w:r>
        <w:t>Coordinate</w:t>
      </w:r>
      <w:r>
        <w:t xml:space="preserve"> provision for children with SEND </w:t>
      </w:r>
    </w:p>
    <w:p w:rsidR="00BF1CAB" w:rsidRDefault="00264E32">
      <w:pPr>
        <w:numPr>
          <w:ilvl w:val="0"/>
          <w:numId w:val="1"/>
        </w:numPr>
        <w:pBdr>
          <w:top w:val="nil"/>
          <w:left w:val="nil"/>
          <w:bottom w:val="nil"/>
          <w:right w:val="nil"/>
          <w:between w:val="nil"/>
        </w:pBdr>
        <w:spacing w:after="0" w:line="246" w:lineRule="auto"/>
        <w:ind w:right="6" w:hanging="360"/>
      </w:pPr>
      <w:r>
        <w:t>Liaise with staff, LA, SEND support services, external agencies, including</w:t>
      </w:r>
      <w:r>
        <w:t xml:space="preserve"> </w:t>
      </w:r>
      <w:r>
        <w:t>Educational Psychology Service, medical and social services to identify, assess and provide appropriate support to those children with SEND</w:t>
      </w:r>
    </w:p>
    <w:p w:rsidR="00BF1CAB" w:rsidRDefault="00264E32">
      <w:pPr>
        <w:numPr>
          <w:ilvl w:val="0"/>
          <w:numId w:val="1"/>
        </w:numPr>
        <w:pBdr>
          <w:top w:val="nil"/>
          <w:left w:val="nil"/>
          <w:bottom w:val="nil"/>
          <w:right w:val="nil"/>
          <w:between w:val="nil"/>
        </w:pBdr>
        <w:spacing w:after="245" w:line="246" w:lineRule="auto"/>
        <w:ind w:right="6" w:hanging="360"/>
      </w:pPr>
      <w:r>
        <w:t>Liaise</w:t>
      </w:r>
      <w:r>
        <w:t xml:space="preserve"> in partnership with parents and carers of pupils with SEND</w:t>
      </w:r>
    </w:p>
    <w:p w:rsidR="00BF1CAB" w:rsidRDefault="00264E32">
      <w:pPr>
        <w:numPr>
          <w:ilvl w:val="0"/>
          <w:numId w:val="1"/>
        </w:numPr>
        <w:pBdr>
          <w:top w:val="nil"/>
          <w:left w:val="nil"/>
          <w:bottom w:val="nil"/>
          <w:right w:val="nil"/>
          <w:between w:val="nil"/>
        </w:pBdr>
        <w:spacing w:after="245" w:line="246" w:lineRule="auto"/>
        <w:ind w:right="6" w:hanging="360"/>
      </w:pPr>
      <w:r>
        <w:t xml:space="preserve">Maintain the SEND register and oversee records of pupils with SEND offer support and advice </w:t>
      </w:r>
      <w:proofErr w:type="gramStart"/>
      <w:r>
        <w:t>to  staff</w:t>
      </w:r>
      <w:proofErr w:type="gramEnd"/>
      <w:r>
        <w:t xml:space="preserve"> regarding appropriate intervention activities, resources, behaviour programs etc) </w:t>
      </w:r>
    </w:p>
    <w:p w:rsidR="00BF1CAB" w:rsidRDefault="00264E32">
      <w:pPr>
        <w:numPr>
          <w:ilvl w:val="0"/>
          <w:numId w:val="1"/>
        </w:numPr>
        <w:pBdr>
          <w:top w:val="nil"/>
          <w:left w:val="nil"/>
          <w:bottom w:val="nil"/>
          <w:right w:val="nil"/>
          <w:between w:val="nil"/>
        </w:pBdr>
        <w:spacing w:after="0" w:line="246" w:lineRule="auto"/>
        <w:ind w:right="6" w:hanging="360"/>
      </w:pPr>
      <w:r>
        <w:t>Identify an</w:t>
      </w:r>
      <w:r>
        <w:t xml:space="preserve">d contribute to INSET </w:t>
      </w:r>
    </w:p>
    <w:p w:rsidR="00BF1CAB" w:rsidRDefault="00264E32">
      <w:pPr>
        <w:numPr>
          <w:ilvl w:val="0"/>
          <w:numId w:val="1"/>
        </w:numPr>
        <w:pBdr>
          <w:top w:val="nil"/>
          <w:left w:val="nil"/>
          <w:bottom w:val="nil"/>
          <w:right w:val="nil"/>
          <w:between w:val="nil"/>
        </w:pBdr>
        <w:spacing w:after="0" w:line="246" w:lineRule="auto"/>
        <w:ind w:right="6" w:hanging="360"/>
      </w:pPr>
      <w:r>
        <w:t xml:space="preserve">Liaise with the High school and other Primary Schools </w:t>
      </w:r>
    </w:p>
    <w:p w:rsidR="00BF1CAB" w:rsidRDefault="00264E32">
      <w:pPr>
        <w:numPr>
          <w:ilvl w:val="0"/>
          <w:numId w:val="1"/>
        </w:numPr>
        <w:pBdr>
          <w:top w:val="nil"/>
          <w:left w:val="nil"/>
          <w:bottom w:val="nil"/>
          <w:right w:val="nil"/>
          <w:between w:val="nil"/>
        </w:pBdr>
        <w:spacing w:after="0" w:line="246" w:lineRule="auto"/>
        <w:ind w:right="6" w:hanging="360"/>
      </w:pPr>
      <w:r>
        <w:t>Oversee resources for pupils with SEND</w:t>
      </w:r>
    </w:p>
    <w:p w:rsidR="00BF1CAB" w:rsidRDefault="00264E32">
      <w:pPr>
        <w:numPr>
          <w:ilvl w:val="0"/>
          <w:numId w:val="1"/>
        </w:numPr>
        <w:pBdr>
          <w:top w:val="nil"/>
          <w:left w:val="nil"/>
          <w:bottom w:val="nil"/>
          <w:right w:val="nil"/>
          <w:between w:val="nil"/>
        </w:pBdr>
        <w:spacing w:after="245" w:line="246" w:lineRule="auto"/>
        <w:ind w:right="6" w:hanging="360"/>
      </w:pPr>
      <w:r>
        <w:t xml:space="preserve">Consult with parents, staff, governing body and other professionals </w:t>
      </w:r>
    </w:p>
    <w:p w:rsidR="00BF1CAB" w:rsidRDefault="00264E32">
      <w:pPr>
        <w:spacing w:after="220" w:line="259" w:lineRule="auto"/>
        <w:rPr>
          <w:b/>
        </w:rPr>
      </w:pPr>
      <w:r>
        <w:rPr>
          <w:b/>
        </w:rPr>
        <w:t xml:space="preserve">Management </w:t>
      </w:r>
    </w:p>
    <w:p w:rsidR="00BF1CAB" w:rsidRDefault="00264E32">
      <w:pPr>
        <w:spacing w:after="194"/>
        <w:ind w:left="0" w:right="6" w:firstLine="0"/>
      </w:pPr>
      <w:r>
        <w:t xml:space="preserve">The SEND policy is reviewed by the </w:t>
      </w:r>
      <w:proofErr w:type="spellStart"/>
      <w:r>
        <w:t>SENDCo</w:t>
      </w:r>
      <w:proofErr w:type="spellEnd"/>
      <w:r>
        <w:t xml:space="preserve">, in consultation with the </w:t>
      </w:r>
      <w:r>
        <w:t>Head of School</w:t>
      </w:r>
      <w:r>
        <w:t xml:space="preserve">, staff and governors annually and the policy document updated. </w:t>
      </w:r>
    </w:p>
    <w:p w:rsidR="00BF1CAB" w:rsidRDefault="00264E32">
      <w:pPr>
        <w:spacing w:after="226"/>
        <w:ind w:left="0" w:right="6" w:firstLine="0"/>
      </w:pPr>
      <w:r>
        <w:t xml:space="preserve">The policy is implemented in the following ways: </w:t>
      </w:r>
    </w:p>
    <w:p w:rsidR="00BF1CAB" w:rsidRDefault="00264E32">
      <w:pPr>
        <w:numPr>
          <w:ilvl w:val="0"/>
          <w:numId w:val="3"/>
        </w:numPr>
        <w:pBdr>
          <w:top w:val="nil"/>
          <w:left w:val="nil"/>
          <w:bottom w:val="nil"/>
          <w:right w:val="nil"/>
          <w:between w:val="nil"/>
        </w:pBdr>
        <w:spacing w:after="0" w:line="246" w:lineRule="auto"/>
        <w:ind w:right="6" w:hanging="360"/>
      </w:pPr>
      <w:r>
        <w:t xml:space="preserve">Each class has a </w:t>
      </w:r>
      <w:r>
        <w:t>SEND</w:t>
      </w:r>
      <w:r>
        <w:t xml:space="preserve"> file containing individual records of</w:t>
      </w:r>
      <w:r>
        <w:t xml:space="preserve"> children on the SEND register </w:t>
      </w:r>
    </w:p>
    <w:p w:rsidR="00BF1CAB" w:rsidRDefault="00264E32">
      <w:pPr>
        <w:numPr>
          <w:ilvl w:val="0"/>
          <w:numId w:val="3"/>
        </w:numPr>
        <w:pBdr>
          <w:top w:val="nil"/>
          <w:left w:val="nil"/>
          <w:bottom w:val="nil"/>
          <w:right w:val="nil"/>
          <w:between w:val="nil"/>
        </w:pBdr>
        <w:spacing w:after="0" w:line="246" w:lineRule="auto"/>
        <w:ind w:right="6" w:hanging="360"/>
      </w:pPr>
      <w:r>
        <w:t xml:space="preserve">The </w:t>
      </w:r>
      <w:proofErr w:type="spellStart"/>
      <w:r>
        <w:t>SENDCo</w:t>
      </w:r>
      <w:proofErr w:type="spellEnd"/>
      <w:r>
        <w:t xml:space="preserve"> liaises with SEND support services, Educational Psychologists and other external agencies </w:t>
      </w:r>
    </w:p>
    <w:p w:rsidR="00BF1CAB" w:rsidRDefault="00264E32">
      <w:pPr>
        <w:numPr>
          <w:ilvl w:val="0"/>
          <w:numId w:val="3"/>
        </w:numPr>
        <w:pBdr>
          <w:top w:val="nil"/>
          <w:left w:val="nil"/>
          <w:bottom w:val="nil"/>
          <w:right w:val="nil"/>
          <w:between w:val="nil"/>
        </w:pBdr>
        <w:spacing w:after="232" w:line="246" w:lineRule="auto"/>
        <w:ind w:right="6" w:hanging="360"/>
      </w:pPr>
      <w:r>
        <w:t xml:space="preserve">The </w:t>
      </w:r>
      <w:proofErr w:type="spellStart"/>
      <w:r>
        <w:t>SENDCo</w:t>
      </w:r>
      <w:proofErr w:type="spellEnd"/>
      <w:r>
        <w:t xml:space="preserve"> liaises regularly with class teachers concerning pupils with SEND</w:t>
      </w:r>
    </w:p>
    <w:p w:rsidR="00BF1CAB" w:rsidRDefault="00BF1CAB">
      <w:pPr>
        <w:spacing w:after="232"/>
        <w:ind w:left="0" w:right="6" w:firstLine="0"/>
        <w:rPr>
          <w:b/>
        </w:rPr>
      </w:pPr>
    </w:p>
    <w:p w:rsidR="00BF1CAB" w:rsidRDefault="00264E32">
      <w:pPr>
        <w:spacing w:after="232"/>
        <w:ind w:left="0" w:right="6" w:firstLine="0"/>
      </w:pPr>
      <w:r>
        <w:rPr>
          <w:b/>
        </w:rPr>
        <w:t>Admissions</w:t>
      </w:r>
      <w:r>
        <w:t xml:space="preserve"> </w:t>
      </w:r>
    </w:p>
    <w:p w:rsidR="00BF1CAB" w:rsidRDefault="00264E32">
      <w:pPr>
        <w:spacing w:after="227"/>
        <w:ind w:left="0" w:right="6" w:firstLine="0"/>
      </w:pPr>
      <w:r>
        <w:t xml:space="preserve">An equal opportunities and inclusion policy </w:t>
      </w:r>
      <w:proofErr w:type="gramStart"/>
      <w:r>
        <w:t>is</w:t>
      </w:r>
      <w:proofErr w:type="gramEnd"/>
      <w:r>
        <w:t xml:space="preserve"> adopted regarding the admissions of children with SEND. Please see our Disability Equality Scheme for our Policy on Inclusion. </w:t>
      </w:r>
    </w:p>
    <w:p w:rsidR="00BF1CAB" w:rsidRDefault="00264E32">
      <w:pPr>
        <w:spacing w:after="232"/>
        <w:ind w:left="0" w:right="6" w:firstLine="0"/>
      </w:pPr>
      <w:r>
        <w:rPr>
          <w:b/>
          <w:u w:val="single"/>
        </w:rPr>
        <w:t>Including Children</w:t>
      </w:r>
      <w:r>
        <w:rPr>
          <w:b/>
        </w:rPr>
        <w:t xml:space="preserve"> (Disability Equality Scheme) </w:t>
      </w:r>
    </w:p>
    <w:p w:rsidR="00BF1CAB" w:rsidRDefault="00264E32">
      <w:pPr>
        <w:spacing w:after="230"/>
        <w:ind w:left="0" w:right="6" w:firstLine="0"/>
      </w:pPr>
      <w:r>
        <w:t>The definition of a disabled per</w:t>
      </w:r>
      <w:r>
        <w:t xml:space="preserve">son is someone who has “a physical or mental impairment which has a substantial and </w:t>
      </w:r>
      <w:proofErr w:type="gramStart"/>
      <w:r>
        <w:t>long term</w:t>
      </w:r>
      <w:proofErr w:type="gramEnd"/>
      <w:r>
        <w:t xml:space="preserve"> adverse effect on his or her ability to carry out normal day-to-day activities”. </w:t>
      </w:r>
    </w:p>
    <w:p w:rsidR="00BF1CAB" w:rsidRDefault="00264E32">
      <w:pPr>
        <w:spacing w:after="227"/>
        <w:ind w:left="0" w:right="6" w:firstLine="0"/>
      </w:pPr>
      <w:r>
        <w:t xml:space="preserve">At </w:t>
      </w:r>
      <w:r>
        <w:t>Co-op Academy Glebe</w:t>
      </w:r>
      <w:r>
        <w:t>, we acknowledge that every child has equal access to a fu</w:t>
      </w:r>
      <w:r>
        <w:t xml:space="preserve">ll and varied curriculum in a learning environment that encourages and supports children’s development. We also acknowledge that all children learn in different ways and at different rates; and that these factors should not prevent a child </w:t>
      </w:r>
      <w:r>
        <w:t>from getting an</w:t>
      </w:r>
      <w:r>
        <w:t xml:space="preserve"> </w:t>
      </w:r>
      <w:r>
        <w:t xml:space="preserve">education.  </w:t>
      </w:r>
    </w:p>
    <w:p w:rsidR="00BF1CAB" w:rsidRDefault="00264E32">
      <w:pPr>
        <w:spacing w:after="227"/>
        <w:ind w:left="0" w:right="6" w:firstLine="0"/>
      </w:pPr>
      <w:r>
        <w:t xml:space="preserve">The school </w:t>
      </w:r>
      <w:r>
        <w:t>has</w:t>
      </w:r>
      <w:r>
        <w:t xml:space="preserve"> a wealth of knowledge about the disabilities of children, staff, parents and members of the community (as a result of the questionnaire) so as to know current barriers within school. </w:t>
      </w:r>
      <w:r>
        <w:t xml:space="preserve">The curriculum is not narrowed for any child, ensuring that all pupils with SEND have equal access to a broad and balanced curriculum. </w:t>
      </w:r>
    </w:p>
    <w:p w:rsidR="00BF1CAB" w:rsidRDefault="00264E32">
      <w:pPr>
        <w:spacing w:after="227"/>
        <w:ind w:left="0" w:right="6" w:firstLine="0"/>
      </w:pPr>
      <w:r>
        <w:lastRenderedPageBreak/>
        <w:t>I</w:t>
      </w:r>
      <w:r>
        <w:t xml:space="preserve">n order to ensure all </w:t>
      </w:r>
      <w:proofErr w:type="gramStart"/>
      <w:r>
        <w:t>children</w:t>
      </w:r>
      <w:proofErr w:type="gramEnd"/>
      <w:r>
        <w:t xml:space="preserve"> have equal access to the curriculum and to aspects of school life, reasonable adjustment</w:t>
      </w:r>
      <w:r>
        <w:t xml:space="preserve">s will be made according to the identified needs. </w:t>
      </w:r>
    </w:p>
    <w:p w:rsidR="00BF1CAB" w:rsidRDefault="00264E32">
      <w:pPr>
        <w:pStyle w:val="Heading1"/>
        <w:ind w:left="165" w:firstLine="0"/>
      </w:pPr>
      <w:r>
        <w:t xml:space="preserve">School Accessibility to disabled persons </w:t>
      </w:r>
    </w:p>
    <w:p w:rsidR="00BF1CAB" w:rsidRDefault="00264E32">
      <w:pPr>
        <w:spacing w:after="230"/>
        <w:ind w:left="0" w:right="6" w:firstLine="0"/>
      </w:pPr>
      <w:r>
        <w:t xml:space="preserve">The school has </w:t>
      </w:r>
      <w:r>
        <w:t>wheelchair</w:t>
      </w:r>
      <w:r>
        <w:t xml:space="preserve"> access, two disabled </w:t>
      </w:r>
      <w:r>
        <w:t>toilets</w:t>
      </w:r>
      <w:r>
        <w:t xml:space="preserve">, designated parking spaces and all buildings are accessible to disabled persons. </w:t>
      </w:r>
      <w:r>
        <w:t>Co-op Academy Glebe</w:t>
      </w:r>
      <w:r>
        <w:t xml:space="preserve"> is a </w:t>
      </w:r>
      <w:proofErr w:type="gramStart"/>
      <w:r>
        <w:t>si</w:t>
      </w:r>
      <w:r>
        <w:t>ngle story</w:t>
      </w:r>
      <w:proofErr w:type="gramEnd"/>
      <w:r>
        <w:t xml:space="preserve"> building. </w:t>
      </w:r>
    </w:p>
    <w:p w:rsidR="00BF1CAB" w:rsidRDefault="00264E32">
      <w:pPr>
        <w:pStyle w:val="Heading1"/>
        <w:ind w:left="165" w:firstLine="0"/>
      </w:pPr>
      <w:r>
        <w:t xml:space="preserve">Resources </w:t>
      </w:r>
    </w:p>
    <w:p w:rsidR="00BF1CAB" w:rsidRDefault="00264E32">
      <w:pPr>
        <w:numPr>
          <w:ilvl w:val="0"/>
          <w:numId w:val="2"/>
        </w:numPr>
        <w:spacing w:after="0"/>
        <w:ind w:right="6"/>
      </w:pPr>
      <w:r>
        <w:t>The school has a variety of resources to support children and include them in all areas of the curriculum. Lessons and activities are adapted to meet the needs of children using a mixture of everyday resources and specialis</w:t>
      </w:r>
      <w:r>
        <w:t xml:space="preserve">t resources, sometimes bought under the advice of specialists.   </w:t>
      </w:r>
    </w:p>
    <w:p w:rsidR="00BF1CAB" w:rsidRDefault="00264E32">
      <w:pPr>
        <w:numPr>
          <w:ilvl w:val="0"/>
          <w:numId w:val="2"/>
        </w:numPr>
        <w:spacing w:after="0"/>
        <w:ind w:right="6"/>
      </w:pPr>
      <w:r>
        <w:rPr>
          <w:b/>
        </w:rPr>
        <w:t xml:space="preserve">Additional SEND Funding/Devolved: </w:t>
      </w:r>
      <w:r>
        <w:t xml:space="preserve">The school </w:t>
      </w:r>
      <w:r>
        <w:t>receives</w:t>
      </w:r>
      <w:r>
        <w:t xml:space="preserve"> funding for </w:t>
      </w:r>
      <w:r>
        <w:t>children who have</w:t>
      </w:r>
      <w:r>
        <w:t xml:space="preserve"> undergone assessment and have been issued with an EHCP. Funding depends upon the band allocated in the EHC</w:t>
      </w:r>
      <w:r>
        <w:t xml:space="preserve"> plan.   </w:t>
      </w:r>
    </w:p>
    <w:p w:rsidR="00BF1CAB" w:rsidRDefault="00264E32">
      <w:pPr>
        <w:numPr>
          <w:ilvl w:val="0"/>
          <w:numId w:val="2"/>
        </w:numPr>
        <w:ind w:right="6"/>
      </w:pPr>
      <w:r>
        <w:t>The school adopts a range of strategies to support pupils with cognition and learning, (including dyslexia), social, emotional and mental health, speech, language and communication needs and physical and or sensory needs and those identified as h</w:t>
      </w:r>
      <w:r>
        <w:t xml:space="preserve">aving a need through resources and teaching strategies and the plan do review cycle (as shown below). </w:t>
      </w:r>
    </w:p>
    <w:p w:rsidR="00BF1CAB" w:rsidRDefault="00264E32">
      <w:pPr>
        <w:spacing w:after="180" w:line="259" w:lineRule="auto"/>
        <w:ind w:left="199" w:firstLine="0"/>
      </w:pPr>
      <w:r>
        <w:t xml:space="preserve"> </w:t>
      </w:r>
    </w:p>
    <w:p w:rsidR="00BF1CAB" w:rsidRDefault="00264E32">
      <w:pPr>
        <w:pStyle w:val="Heading1"/>
        <w:spacing w:after="169"/>
        <w:ind w:left="165" w:firstLine="0"/>
      </w:pPr>
      <w:r>
        <w:t>Identification, Assessment and Review</w:t>
      </w:r>
      <w:r>
        <w:rPr>
          <w:b w:val="0"/>
        </w:rPr>
        <w:t xml:space="preserve"> </w:t>
      </w:r>
    </w:p>
    <w:p w:rsidR="00BF1CAB" w:rsidRDefault="00264E32">
      <w:pPr>
        <w:spacing w:after="195" w:line="246" w:lineRule="auto"/>
        <w:ind w:left="189" w:right="212" w:firstLine="0"/>
        <w:jc w:val="both"/>
      </w:pPr>
      <w:r>
        <w:t xml:space="preserve">It is our aim to identify as early as possible any pupils who may have SEND.  This will be in the way of </w:t>
      </w:r>
      <w:r>
        <w:rPr>
          <w:b/>
        </w:rPr>
        <w:t>pre-school visits</w:t>
      </w:r>
      <w:r>
        <w:t xml:space="preserve"> prior to pupils entering our foundation unit, or by staff and </w:t>
      </w:r>
      <w:r>
        <w:t>parents</w:t>
      </w:r>
      <w:r>
        <w:t xml:space="preserve"> raising concerns once children are in school. The other way we track children is through DC Pro – a system that allows us to monitor the progress of children, and areas</w:t>
      </w:r>
      <w:r>
        <w:t xml:space="preserve"> they have difficulties. Pupils will be assessed in school and will be discussed with our LA SEND lead when they visit. Any resulting recommendations will be followed by the school, and parents will be kept informed of progress.  </w:t>
      </w:r>
    </w:p>
    <w:p w:rsidR="00BF1CAB" w:rsidRDefault="00264E32">
      <w:pPr>
        <w:spacing w:after="180" w:line="259" w:lineRule="auto"/>
        <w:ind w:left="0" w:right="31" w:firstLine="0"/>
      </w:pPr>
      <w:r>
        <w:rPr>
          <w:b/>
          <w:u w:val="single"/>
        </w:rPr>
        <w:t>The process of Identifyin</w:t>
      </w:r>
      <w:r>
        <w:rPr>
          <w:b/>
          <w:u w:val="single"/>
        </w:rPr>
        <w:t xml:space="preserve">g needs and including children at </w:t>
      </w:r>
      <w:r>
        <w:rPr>
          <w:b/>
          <w:u w:val="single"/>
        </w:rPr>
        <w:t>Co-op Academy Glebe</w:t>
      </w:r>
      <w:r>
        <w:rPr>
          <w:b/>
          <w:u w:val="single"/>
        </w:rPr>
        <w:t>:</w:t>
      </w:r>
      <w:r>
        <w:rPr>
          <w:b/>
        </w:rPr>
        <w:t xml:space="preserve"> </w:t>
      </w:r>
    </w:p>
    <w:p w:rsidR="00BF1CAB" w:rsidRDefault="00264E32">
      <w:pPr>
        <w:spacing w:after="189"/>
        <w:ind w:left="0" w:right="6" w:firstLine="0"/>
      </w:pPr>
      <w:r>
        <w:t xml:space="preserve">Children progress in monitored using in-class assessment &amp; DC Pro will be completed. </w:t>
      </w:r>
    </w:p>
    <w:p w:rsidR="00BF1CAB" w:rsidRDefault="00264E32">
      <w:pPr>
        <w:spacing w:after="194"/>
        <w:ind w:left="0" w:right="6" w:firstLine="0"/>
      </w:pPr>
      <w:r>
        <w:t xml:space="preserve">Children whose rate of progress flags up concerns are discussed with the class teacher and parents.  </w:t>
      </w:r>
    </w:p>
    <w:p w:rsidR="00BF1CAB" w:rsidRDefault="00264E32">
      <w:pPr>
        <w:tabs>
          <w:tab w:val="center" w:pos="4243"/>
        </w:tabs>
        <w:spacing w:after="0" w:line="259" w:lineRule="auto"/>
        <w:ind w:left="0" w:firstLine="0"/>
      </w:pPr>
      <w:r>
        <w:t xml:space="preserve"> </w:t>
      </w:r>
      <w:r>
        <w:tab/>
      </w:r>
    </w:p>
    <w:p w:rsidR="00BF1CAB" w:rsidRDefault="00264E32">
      <w:pPr>
        <w:spacing w:after="178" w:line="259" w:lineRule="auto"/>
        <w:ind w:left="194" w:right="4869" w:firstLine="0"/>
        <w:jc w:val="right"/>
      </w:pPr>
      <w:r>
        <w:rPr>
          <w:noProof/>
          <w:sz w:val="22"/>
          <w:szCs w:val="22"/>
        </w:rPr>
        <mc:AlternateContent>
          <mc:Choice Requires="wpg">
            <w:drawing>
              <wp:inline distT="0" distB="0" distL="0" distR="0">
                <wp:extent cx="76200" cy="325755"/>
                <wp:effectExtent l="0" t="0" r="0" b="0"/>
                <wp:docPr id="4007" name="Group 4007"/>
                <wp:cNvGraphicFramePr/>
                <a:graphic xmlns:a="http://schemas.openxmlformats.org/drawingml/2006/main">
                  <a:graphicData uri="http://schemas.microsoft.com/office/word/2010/wordprocessingGroup">
                    <wpg:wgp>
                      <wpg:cNvGrpSpPr/>
                      <wpg:grpSpPr>
                        <a:xfrm>
                          <a:off x="0" y="0"/>
                          <a:ext cx="76200" cy="325755"/>
                          <a:chOff x="5307900" y="3617100"/>
                          <a:chExt cx="76200" cy="325800"/>
                        </a:xfrm>
                      </wpg:grpSpPr>
                      <wpg:grpSp>
                        <wpg:cNvPr id="1" name="Group 1"/>
                        <wpg:cNvGrpSpPr/>
                        <wpg:grpSpPr>
                          <a:xfrm>
                            <a:off x="5307900" y="3617123"/>
                            <a:ext cx="76200" cy="325755"/>
                            <a:chOff x="0" y="0"/>
                            <a:chExt cx="76200" cy="325755"/>
                          </a:xfrm>
                        </wpg:grpSpPr>
                        <wps:wsp>
                          <wps:cNvPr id="2" name="Rectangle 2"/>
                          <wps:cNvSpPr/>
                          <wps:spPr>
                            <a:xfrm>
                              <a:off x="0" y="0"/>
                              <a:ext cx="76200" cy="325750"/>
                            </a:xfrm>
                            <a:prstGeom prst="rect">
                              <a:avLst/>
                            </a:prstGeom>
                            <a:noFill/>
                            <a:ln>
                              <a:noFill/>
                            </a:ln>
                          </wps:spPr>
                          <wps:txbx>
                            <w:txbxContent>
                              <w:p w:rsidR="00BF1CAB" w:rsidRDefault="00BF1CAB">
                                <w:pPr>
                                  <w:spacing w:after="0" w:line="240" w:lineRule="auto"/>
                                  <w:ind w:left="0" w:firstLine="0"/>
                                  <w:textDirection w:val="btLr"/>
                                </w:pPr>
                              </w:p>
                            </w:txbxContent>
                          </wps:txbx>
                          <wps:bodyPr spcFirstLastPara="1" wrap="square" lIns="91425" tIns="91425" rIns="91425" bIns="91425" anchor="ctr" anchorCtr="0">
                            <a:noAutofit/>
                          </wps:bodyPr>
                        </wps:wsp>
                        <wps:wsp>
                          <wps:cNvPr id="3" name="Freeform: Shape 3"/>
                          <wps:cNvSpPr/>
                          <wps:spPr>
                            <a:xfrm>
                              <a:off x="0" y="0"/>
                              <a:ext cx="76200" cy="325755"/>
                            </a:xfrm>
                            <a:custGeom>
                              <a:avLst/>
                              <a:gdLst/>
                              <a:ahLst/>
                              <a:cxnLst/>
                              <a:rect l="l" t="t" r="r" b="b"/>
                              <a:pathLst>
                                <a:path w="76200" h="325755" extrusionOk="0">
                                  <a:moveTo>
                                    <a:pt x="31750" y="0"/>
                                  </a:moveTo>
                                  <a:lnTo>
                                    <a:pt x="44450" y="0"/>
                                  </a:lnTo>
                                  <a:lnTo>
                                    <a:pt x="44450" y="249555"/>
                                  </a:lnTo>
                                  <a:lnTo>
                                    <a:pt x="76200" y="249555"/>
                                  </a:lnTo>
                                  <a:lnTo>
                                    <a:pt x="38100" y="325755"/>
                                  </a:lnTo>
                                  <a:lnTo>
                                    <a:pt x="0" y="249555"/>
                                  </a:lnTo>
                                  <a:lnTo>
                                    <a:pt x="31750" y="249555"/>
                                  </a:lnTo>
                                  <a:lnTo>
                                    <a:pt x="31750" y="0"/>
                                  </a:lnTo>
                                  <a:close/>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6200" cy="325755"/>
                <wp:effectExtent b="0" l="0" r="0" t="0"/>
                <wp:docPr id="4007"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76200" cy="325755"/>
                        </a:xfrm>
                        <a:prstGeom prst="rect"/>
                        <a:ln/>
                      </pic:spPr>
                    </pic:pic>
                  </a:graphicData>
                </a:graphic>
              </wp:inline>
            </w:drawing>
          </mc:Fallback>
        </mc:AlternateContent>
      </w:r>
      <w:r>
        <w:t xml:space="preserve"> </w:t>
      </w:r>
    </w:p>
    <w:p w:rsidR="00BF1CAB" w:rsidRDefault="00264E32">
      <w:pPr>
        <w:spacing w:after="195" w:line="246" w:lineRule="auto"/>
        <w:ind w:left="0" w:right="212" w:firstLine="0"/>
        <w:jc w:val="both"/>
      </w:pPr>
      <w:r>
        <w:t>Chi</w:t>
      </w:r>
      <w:r>
        <w:t xml:space="preserve">ldren are then placed on a ‘monitoring register’ where additional targets under APP (accelerating pupil’s progress) are provided. After 1 term the </w:t>
      </w:r>
      <w:proofErr w:type="spellStart"/>
      <w:r>
        <w:t>SENDCo</w:t>
      </w:r>
      <w:proofErr w:type="spellEnd"/>
      <w:r>
        <w:t xml:space="preserve"> meets with the Class Team to discuss rates of progress from the APP intervention. If rates of progress</w:t>
      </w:r>
      <w:r>
        <w:t xml:space="preserve"> are still of concerns, the child is then placed on the SEND register. </w:t>
      </w:r>
    </w:p>
    <w:p w:rsidR="00BF1CAB" w:rsidRDefault="00264E32">
      <w:pPr>
        <w:tabs>
          <w:tab w:val="center" w:pos="4243"/>
        </w:tabs>
        <w:spacing w:after="195" w:line="259" w:lineRule="auto"/>
        <w:ind w:left="0" w:firstLine="0"/>
        <w:jc w:val="center"/>
      </w:pPr>
      <w:r>
        <w:rPr>
          <w:noProof/>
          <w:sz w:val="22"/>
          <w:szCs w:val="22"/>
        </w:rPr>
        <mc:AlternateContent>
          <mc:Choice Requires="wpg">
            <w:drawing>
              <wp:inline distT="0" distB="0" distL="0" distR="0">
                <wp:extent cx="76200" cy="325755"/>
                <wp:effectExtent l="0" t="0" r="0" b="0"/>
                <wp:docPr id="4005" name="Group 4005"/>
                <wp:cNvGraphicFramePr/>
                <a:graphic xmlns:a="http://schemas.openxmlformats.org/drawingml/2006/main">
                  <a:graphicData uri="http://schemas.microsoft.com/office/word/2010/wordprocessingGroup">
                    <wpg:wgp>
                      <wpg:cNvGrpSpPr/>
                      <wpg:grpSpPr>
                        <a:xfrm>
                          <a:off x="0" y="0"/>
                          <a:ext cx="76200" cy="325755"/>
                          <a:chOff x="5307900" y="3617100"/>
                          <a:chExt cx="76200" cy="325800"/>
                        </a:xfrm>
                      </wpg:grpSpPr>
                      <wpg:grpSp>
                        <wpg:cNvPr id="4" name="Group 4"/>
                        <wpg:cNvGrpSpPr/>
                        <wpg:grpSpPr>
                          <a:xfrm>
                            <a:off x="5307900" y="3617123"/>
                            <a:ext cx="76200" cy="325755"/>
                            <a:chOff x="0" y="0"/>
                            <a:chExt cx="76200" cy="325755"/>
                          </a:xfrm>
                        </wpg:grpSpPr>
                        <wps:wsp>
                          <wps:cNvPr id="5" name="Rectangle 5"/>
                          <wps:cNvSpPr/>
                          <wps:spPr>
                            <a:xfrm>
                              <a:off x="0" y="0"/>
                              <a:ext cx="76200" cy="325750"/>
                            </a:xfrm>
                            <a:prstGeom prst="rect">
                              <a:avLst/>
                            </a:prstGeom>
                            <a:noFill/>
                            <a:ln>
                              <a:noFill/>
                            </a:ln>
                          </wps:spPr>
                          <wps:txbx>
                            <w:txbxContent>
                              <w:p w:rsidR="00BF1CAB" w:rsidRDefault="00BF1CAB">
                                <w:pPr>
                                  <w:spacing w:after="0" w:line="240" w:lineRule="auto"/>
                                  <w:ind w:left="0" w:firstLine="0"/>
                                  <w:textDirection w:val="btLr"/>
                                </w:pPr>
                              </w:p>
                            </w:txbxContent>
                          </wps:txbx>
                          <wps:bodyPr spcFirstLastPara="1" wrap="square" lIns="91425" tIns="91425" rIns="91425" bIns="91425" anchor="ctr" anchorCtr="0">
                            <a:noAutofit/>
                          </wps:bodyPr>
                        </wps:wsp>
                        <wps:wsp>
                          <wps:cNvPr id="6" name="Freeform: Shape 6"/>
                          <wps:cNvSpPr/>
                          <wps:spPr>
                            <a:xfrm>
                              <a:off x="0" y="0"/>
                              <a:ext cx="76200" cy="325755"/>
                            </a:xfrm>
                            <a:custGeom>
                              <a:avLst/>
                              <a:gdLst/>
                              <a:ahLst/>
                              <a:cxnLst/>
                              <a:rect l="l" t="t" r="r" b="b"/>
                              <a:pathLst>
                                <a:path w="76200" h="325755" extrusionOk="0">
                                  <a:moveTo>
                                    <a:pt x="31750" y="0"/>
                                  </a:moveTo>
                                  <a:lnTo>
                                    <a:pt x="44450" y="0"/>
                                  </a:lnTo>
                                  <a:lnTo>
                                    <a:pt x="44450" y="249555"/>
                                  </a:lnTo>
                                  <a:lnTo>
                                    <a:pt x="76200" y="249555"/>
                                  </a:lnTo>
                                  <a:lnTo>
                                    <a:pt x="38100" y="325755"/>
                                  </a:lnTo>
                                  <a:lnTo>
                                    <a:pt x="0" y="249555"/>
                                  </a:lnTo>
                                  <a:lnTo>
                                    <a:pt x="31750" y="249555"/>
                                  </a:lnTo>
                                  <a:lnTo>
                                    <a:pt x="31750" y="0"/>
                                  </a:lnTo>
                                  <a:close/>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6200" cy="325755"/>
                <wp:effectExtent b="0" l="0" r="0" t="0"/>
                <wp:docPr id="4005"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76200" cy="325755"/>
                        </a:xfrm>
                        <a:prstGeom prst="rect"/>
                        <a:ln/>
                      </pic:spPr>
                    </pic:pic>
                  </a:graphicData>
                </a:graphic>
              </wp:inline>
            </w:drawing>
          </mc:Fallback>
        </mc:AlternateContent>
      </w:r>
    </w:p>
    <w:p w:rsidR="00BF1CAB" w:rsidRDefault="00264E32">
      <w:pPr>
        <w:spacing w:after="195" w:line="246" w:lineRule="auto"/>
        <w:ind w:left="0" w:right="212" w:firstLine="0"/>
        <w:jc w:val="both"/>
      </w:pPr>
      <w:r>
        <w:lastRenderedPageBreak/>
        <w:t xml:space="preserve">The child is then given targets by the </w:t>
      </w:r>
      <w:r>
        <w:rPr>
          <w:b/>
        </w:rPr>
        <w:t xml:space="preserve">class teacher </w:t>
      </w:r>
      <w:r>
        <w:t xml:space="preserve">supported by the </w:t>
      </w:r>
      <w:proofErr w:type="spellStart"/>
      <w:r>
        <w:t>SENDCo</w:t>
      </w:r>
      <w:proofErr w:type="spellEnd"/>
      <w:r>
        <w:t xml:space="preserve"> in the area where support is identified as being needed (e.g. maths) and these are shared with the children. Specific interventions are carried out with the child (or group of children) to support them in class. Children’s progress </w:t>
      </w:r>
      <w:r>
        <w:t xml:space="preserve">continues to be monitored. </w:t>
      </w:r>
    </w:p>
    <w:p w:rsidR="00BF1CAB" w:rsidRDefault="00264E32">
      <w:pPr>
        <w:tabs>
          <w:tab w:val="center" w:pos="4243"/>
        </w:tabs>
        <w:spacing w:after="195" w:line="259" w:lineRule="auto"/>
        <w:ind w:left="0" w:firstLine="0"/>
        <w:jc w:val="center"/>
      </w:pPr>
      <w:r>
        <w:rPr>
          <w:noProof/>
          <w:sz w:val="22"/>
          <w:szCs w:val="22"/>
        </w:rPr>
        <mc:AlternateContent>
          <mc:Choice Requires="wpg">
            <w:drawing>
              <wp:inline distT="0" distB="0" distL="0" distR="0">
                <wp:extent cx="76200" cy="325755"/>
                <wp:effectExtent l="0" t="0" r="0" b="0"/>
                <wp:docPr id="4006" name="Group 4006"/>
                <wp:cNvGraphicFramePr/>
                <a:graphic xmlns:a="http://schemas.openxmlformats.org/drawingml/2006/main">
                  <a:graphicData uri="http://schemas.microsoft.com/office/word/2010/wordprocessingGroup">
                    <wpg:wgp>
                      <wpg:cNvGrpSpPr/>
                      <wpg:grpSpPr>
                        <a:xfrm>
                          <a:off x="0" y="0"/>
                          <a:ext cx="76200" cy="325755"/>
                          <a:chOff x="5307900" y="3617100"/>
                          <a:chExt cx="76200" cy="325800"/>
                        </a:xfrm>
                      </wpg:grpSpPr>
                      <wpg:grpSp>
                        <wpg:cNvPr id="7" name="Group 7"/>
                        <wpg:cNvGrpSpPr/>
                        <wpg:grpSpPr>
                          <a:xfrm>
                            <a:off x="5307900" y="3617123"/>
                            <a:ext cx="76200" cy="325755"/>
                            <a:chOff x="0" y="0"/>
                            <a:chExt cx="76200" cy="325755"/>
                          </a:xfrm>
                        </wpg:grpSpPr>
                        <wps:wsp>
                          <wps:cNvPr id="8" name="Rectangle 8"/>
                          <wps:cNvSpPr/>
                          <wps:spPr>
                            <a:xfrm>
                              <a:off x="0" y="0"/>
                              <a:ext cx="76200" cy="325750"/>
                            </a:xfrm>
                            <a:prstGeom prst="rect">
                              <a:avLst/>
                            </a:prstGeom>
                            <a:noFill/>
                            <a:ln>
                              <a:noFill/>
                            </a:ln>
                          </wps:spPr>
                          <wps:txbx>
                            <w:txbxContent>
                              <w:p w:rsidR="00BF1CAB" w:rsidRDefault="00BF1CAB">
                                <w:pPr>
                                  <w:spacing w:after="0" w:line="240" w:lineRule="auto"/>
                                  <w:ind w:left="0" w:firstLine="0"/>
                                  <w:textDirection w:val="btLr"/>
                                </w:pPr>
                              </w:p>
                            </w:txbxContent>
                          </wps:txbx>
                          <wps:bodyPr spcFirstLastPara="1" wrap="square" lIns="91425" tIns="91425" rIns="91425" bIns="91425" anchor="ctr" anchorCtr="0">
                            <a:noAutofit/>
                          </wps:bodyPr>
                        </wps:wsp>
                        <wps:wsp>
                          <wps:cNvPr id="9" name="Freeform: Shape 9"/>
                          <wps:cNvSpPr/>
                          <wps:spPr>
                            <a:xfrm>
                              <a:off x="0" y="0"/>
                              <a:ext cx="76200" cy="325755"/>
                            </a:xfrm>
                            <a:custGeom>
                              <a:avLst/>
                              <a:gdLst/>
                              <a:ahLst/>
                              <a:cxnLst/>
                              <a:rect l="l" t="t" r="r" b="b"/>
                              <a:pathLst>
                                <a:path w="76200" h="325755" extrusionOk="0">
                                  <a:moveTo>
                                    <a:pt x="31750" y="0"/>
                                  </a:moveTo>
                                  <a:lnTo>
                                    <a:pt x="44450" y="0"/>
                                  </a:lnTo>
                                  <a:lnTo>
                                    <a:pt x="44450" y="249555"/>
                                  </a:lnTo>
                                  <a:lnTo>
                                    <a:pt x="76200" y="249555"/>
                                  </a:lnTo>
                                  <a:lnTo>
                                    <a:pt x="38100" y="325755"/>
                                  </a:lnTo>
                                  <a:lnTo>
                                    <a:pt x="0" y="249555"/>
                                  </a:lnTo>
                                  <a:lnTo>
                                    <a:pt x="31750" y="249555"/>
                                  </a:lnTo>
                                  <a:lnTo>
                                    <a:pt x="31750" y="0"/>
                                  </a:lnTo>
                                  <a:close/>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6200" cy="325755"/>
                <wp:effectExtent b="0" l="0" r="0" t="0"/>
                <wp:docPr id="4006" name="image5.png"/>
                <a:graphic>
                  <a:graphicData uri="http://schemas.openxmlformats.org/drawingml/2006/picture">
                    <pic:pic>
                      <pic:nvPicPr>
                        <pic:cNvPr id="0" name="image5.png"/>
                        <pic:cNvPicPr preferRelativeResize="0"/>
                      </pic:nvPicPr>
                      <pic:blipFill>
                        <a:blip r:embed="rId12"/>
                        <a:srcRect/>
                        <a:stretch>
                          <a:fillRect/>
                        </a:stretch>
                      </pic:blipFill>
                      <pic:spPr>
                        <a:xfrm>
                          <a:off x="0" y="0"/>
                          <a:ext cx="76200" cy="325755"/>
                        </a:xfrm>
                        <a:prstGeom prst="rect"/>
                        <a:ln/>
                      </pic:spPr>
                    </pic:pic>
                  </a:graphicData>
                </a:graphic>
              </wp:inline>
            </w:drawing>
          </mc:Fallback>
        </mc:AlternateContent>
      </w:r>
    </w:p>
    <w:p w:rsidR="00BF1CAB" w:rsidRDefault="00264E32">
      <w:pPr>
        <w:spacing w:after="195" w:line="246" w:lineRule="auto"/>
        <w:ind w:left="0" w:right="212" w:firstLine="0"/>
        <w:jc w:val="both"/>
      </w:pPr>
      <w:r>
        <w:t>If we still have concerns over the child’s rate of progress, despite the school putting in some extra support and monitoring this over a specific period, the school may seek the advice of services outside of school (e.g. th</w:t>
      </w:r>
      <w:r>
        <w:t>e Speech and Language Therapist, the Educational Psychologist, the Inclusion service’s specialist teachers, etc). When we receive specialist advice, we act upon this and include it in the child’s School Support Target Sheets in the form of targets. At this</w:t>
      </w:r>
      <w:r>
        <w:t xml:space="preserve"> point the child will be reported to parents as having SEND and be added to the school SEND register.  </w:t>
      </w:r>
    </w:p>
    <w:p w:rsidR="00BF1CAB" w:rsidRDefault="00264E32">
      <w:pPr>
        <w:tabs>
          <w:tab w:val="center" w:pos="4298"/>
        </w:tabs>
        <w:spacing w:after="0" w:line="259" w:lineRule="auto"/>
        <w:ind w:left="0" w:firstLine="0"/>
        <w:jc w:val="center"/>
      </w:pPr>
      <w:r>
        <w:t xml:space="preserve"> </w:t>
      </w:r>
      <w:r>
        <w:rPr>
          <w:noProof/>
          <w:sz w:val="22"/>
          <w:szCs w:val="22"/>
        </w:rPr>
        <mc:AlternateContent>
          <mc:Choice Requires="wpg">
            <w:drawing>
              <wp:inline distT="0" distB="0" distL="0" distR="0">
                <wp:extent cx="76200" cy="325755"/>
                <wp:effectExtent l="0" t="0" r="0" b="0"/>
                <wp:docPr id="4004" name="Group 4004"/>
                <wp:cNvGraphicFramePr/>
                <a:graphic xmlns:a="http://schemas.openxmlformats.org/drawingml/2006/main">
                  <a:graphicData uri="http://schemas.microsoft.com/office/word/2010/wordprocessingGroup">
                    <wpg:wgp>
                      <wpg:cNvGrpSpPr/>
                      <wpg:grpSpPr>
                        <a:xfrm>
                          <a:off x="0" y="0"/>
                          <a:ext cx="76200" cy="325755"/>
                          <a:chOff x="5307900" y="3617100"/>
                          <a:chExt cx="76200" cy="325800"/>
                        </a:xfrm>
                      </wpg:grpSpPr>
                      <wpg:grpSp>
                        <wpg:cNvPr id="10" name="Group 10"/>
                        <wpg:cNvGrpSpPr/>
                        <wpg:grpSpPr>
                          <a:xfrm>
                            <a:off x="5307900" y="3617123"/>
                            <a:ext cx="76200" cy="325755"/>
                            <a:chOff x="0" y="0"/>
                            <a:chExt cx="76200" cy="325755"/>
                          </a:xfrm>
                        </wpg:grpSpPr>
                        <wps:wsp>
                          <wps:cNvPr id="11" name="Rectangle 11"/>
                          <wps:cNvSpPr/>
                          <wps:spPr>
                            <a:xfrm>
                              <a:off x="0" y="0"/>
                              <a:ext cx="76200" cy="325750"/>
                            </a:xfrm>
                            <a:prstGeom prst="rect">
                              <a:avLst/>
                            </a:prstGeom>
                            <a:noFill/>
                            <a:ln>
                              <a:noFill/>
                            </a:ln>
                          </wps:spPr>
                          <wps:txbx>
                            <w:txbxContent>
                              <w:p w:rsidR="00BF1CAB" w:rsidRDefault="00BF1CAB">
                                <w:pPr>
                                  <w:spacing w:after="0" w:line="240" w:lineRule="auto"/>
                                  <w:ind w:left="0" w:firstLine="0"/>
                                  <w:textDirection w:val="btLr"/>
                                </w:pPr>
                              </w:p>
                            </w:txbxContent>
                          </wps:txbx>
                          <wps:bodyPr spcFirstLastPara="1" wrap="square" lIns="91425" tIns="91425" rIns="91425" bIns="91425" anchor="ctr" anchorCtr="0">
                            <a:noAutofit/>
                          </wps:bodyPr>
                        </wps:wsp>
                        <wps:wsp>
                          <wps:cNvPr id="12" name="Freeform: Shape 12"/>
                          <wps:cNvSpPr/>
                          <wps:spPr>
                            <a:xfrm>
                              <a:off x="0" y="0"/>
                              <a:ext cx="76200" cy="325755"/>
                            </a:xfrm>
                            <a:custGeom>
                              <a:avLst/>
                              <a:gdLst/>
                              <a:ahLst/>
                              <a:cxnLst/>
                              <a:rect l="l" t="t" r="r" b="b"/>
                              <a:pathLst>
                                <a:path w="76200" h="325755" extrusionOk="0">
                                  <a:moveTo>
                                    <a:pt x="31750" y="0"/>
                                  </a:moveTo>
                                  <a:lnTo>
                                    <a:pt x="44450" y="0"/>
                                  </a:lnTo>
                                  <a:lnTo>
                                    <a:pt x="44450" y="249555"/>
                                  </a:lnTo>
                                  <a:lnTo>
                                    <a:pt x="76200" y="249555"/>
                                  </a:lnTo>
                                  <a:lnTo>
                                    <a:pt x="38100" y="325755"/>
                                  </a:lnTo>
                                  <a:lnTo>
                                    <a:pt x="0" y="249555"/>
                                  </a:lnTo>
                                  <a:lnTo>
                                    <a:pt x="31750" y="249555"/>
                                  </a:lnTo>
                                  <a:lnTo>
                                    <a:pt x="31750" y="0"/>
                                  </a:lnTo>
                                  <a:close/>
                                </a:path>
                              </a:pathLst>
                            </a:custGeom>
                            <a:solidFill>
                              <a:srgbClr val="000000"/>
                            </a:solidFill>
                            <a:ln>
                              <a:noFill/>
                            </a:ln>
                          </wps:spPr>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76200" cy="325755"/>
                <wp:effectExtent b="0" l="0" r="0" t="0"/>
                <wp:docPr id="4004"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76200" cy="325755"/>
                        </a:xfrm>
                        <a:prstGeom prst="rect"/>
                        <a:ln/>
                      </pic:spPr>
                    </pic:pic>
                  </a:graphicData>
                </a:graphic>
              </wp:inline>
            </w:drawing>
          </mc:Fallback>
        </mc:AlternateContent>
      </w:r>
    </w:p>
    <w:p w:rsidR="00BF1CAB" w:rsidRDefault="00264E32">
      <w:pPr>
        <w:spacing w:after="177" w:line="259" w:lineRule="auto"/>
        <w:ind w:left="194" w:right="4814" w:firstLine="0"/>
      </w:pPr>
      <w:r>
        <w:t xml:space="preserve"> </w:t>
      </w:r>
    </w:p>
    <w:p w:rsidR="00BF1CAB" w:rsidRDefault="00264E32">
      <w:pPr>
        <w:spacing w:after="195" w:line="246" w:lineRule="auto"/>
        <w:ind w:left="0" w:right="212" w:firstLine="0"/>
        <w:jc w:val="both"/>
      </w:pPr>
      <w:r>
        <w:t>If, despite support and advice from outside agencies, the child is still making little or no progress, the school will put a child forward for coordinated assessment. The process of applying for an Education, Health and Care Plan should take around 20 week</w:t>
      </w:r>
      <w:r>
        <w:t xml:space="preserve">s, and evidence has to be provided to show that the school has done all they can, and explored all of the support channels available to them. A child issued with an EHC plan has a set number of hours given to them so that the school can employ an adult to </w:t>
      </w:r>
      <w:r>
        <w:t xml:space="preserve">carry out specific activities to achieve the objectives on the plan.   </w:t>
      </w:r>
    </w:p>
    <w:p w:rsidR="00BF1CAB" w:rsidRDefault="00264E32">
      <w:pPr>
        <w:spacing w:after="195" w:line="246" w:lineRule="auto"/>
        <w:ind w:left="0" w:right="212" w:firstLine="0"/>
        <w:jc w:val="both"/>
      </w:pPr>
      <w:r>
        <w:t xml:space="preserve">The </w:t>
      </w:r>
      <w:proofErr w:type="spellStart"/>
      <w:r>
        <w:t>SENDCo</w:t>
      </w:r>
      <w:proofErr w:type="spellEnd"/>
      <w:r>
        <w:t xml:space="preserve"> will also have access to whole school assessment on a termly basis in order to assess pupil progress.  They will use the LA indicators for intervention along with class teac</w:t>
      </w:r>
      <w:r>
        <w:t xml:space="preserve">hers in order to assess if a child needs to be identified as having SEND and placed appropriately on the SEND School register. </w:t>
      </w:r>
    </w:p>
    <w:p w:rsidR="00BF1CAB" w:rsidRDefault="00BF1CAB">
      <w:pPr>
        <w:spacing w:after="180" w:line="259" w:lineRule="auto"/>
        <w:ind w:left="194" w:firstLine="0"/>
        <w:rPr>
          <w:b/>
        </w:rPr>
      </w:pPr>
    </w:p>
    <w:p w:rsidR="00BF1CAB" w:rsidRDefault="00264E32">
      <w:pPr>
        <w:spacing w:after="180" w:line="259" w:lineRule="auto"/>
        <w:ind w:left="0" w:firstLine="0"/>
        <w:rPr>
          <w:b/>
        </w:rPr>
      </w:pPr>
      <w:r>
        <w:rPr>
          <w:b/>
        </w:rPr>
        <w:t xml:space="preserve">Curriculum </w:t>
      </w:r>
    </w:p>
    <w:p w:rsidR="00BF1CAB" w:rsidRDefault="00264E32">
      <w:pPr>
        <w:spacing w:after="180" w:line="259" w:lineRule="auto"/>
        <w:ind w:left="0" w:firstLine="0"/>
      </w:pPr>
      <w:r>
        <w:t>Children with SEND will have access to a broad and balanced curriculum. The needs of pupils with SEND will be identified and provided for in curriculum planning. Where appropriate, differentiation and special curriculum planning will be outlined within pla</w:t>
      </w:r>
      <w:r>
        <w:t xml:space="preserve">nning for the class, group and / or the pupil's </w:t>
      </w:r>
      <w:r>
        <w:t>SEND t</w:t>
      </w:r>
      <w:r>
        <w:t>argets.</w:t>
      </w:r>
    </w:p>
    <w:p w:rsidR="00BF1CAB" w:rsidRDefault="00264E32">
      <w:pPr>
        <w:spacing w:after="190"/>
        <w:ind w:left="0" w:right="6" w:firstLine="0"/>
      </w:pPr>
      <w:r>
        <w:t>Pupils with SEND must experience success in tasks and activities presented; and their work must be planned in order to match their level, interest, type and pace of learning. Activities should b</w:t>
      </w:r>
      <w:r>
        <w:t xml:space="preserve">e broken down into small, achievable steps; however, they must reflect high expectations. </w:t>
      </w:r>
    </w:p>
    <w:p w:rsidR="00BF1CAB" w:rsidRDefault="00264E32">
      <w:pPr>
        <w:spacing w:after="192"/>
        <w:ind w:left="0" w:right="6" w:firstLine="0"/>
      </w:pPr>
      <w:r>
        <w:t xml:space="preserve">There may be occasions when pupils may be withdrawn for extra support on a one to one basis and in small group situations.  This decision is made by the </w:t>
      </w:r>
      <w:proofErr w:type="spellStart"/>
      <w:r>
        <w:t>SENDCo</w:t>
      </w:r>
      <w:proofErr w:type="spellEnd"/>
      <w:r>
        <w:t xml:space="preserve"> in co</w:t>
      </w:r>
      <w:r>
        <w:t xml:space="preserve">njunction with the class teacher. </w:t>
      </w:r>
    </w:p>
    <w:p w:rsidR="00BF1CAB" w:rsidRDefault="00264E32">
      <w:pPr>
        <w:spacing w:after="191"/>
        <w:ind w:left="0" w:right="6" w:firstLine="0"/>
      </w:pPr>
      <w:r>
        <w:t xml:space="preserve">Pupils will be assessed regularly and their progress recorded, reviewed and evaluated. Intervention should be measurable and targeted specifically. </w:t>
      </w:r>
    </w:p>
    <w:p w:rsidR="00BF1CAB" w:rsidRDefault="00264E32">
      <w:pPr>
        <w:spacing w:after="191"/>
        <w:ind w:left="0" w:right="6" w:firstLine="0"/>
        <w:rPr>
          <w:b/>
        </w:rPr>
      </w:pPr>
      <w:r>
        <w:rPr>
          <w:b/>
        </w:rPr>
        <w:t xml:space="preserve">Inclusion </w:t>
      </w:r>
    </w:p>
    <w:p w:rsidR="00BF1CAB" w:rsidRDefault="00264E32">
      <w:pPr>
        <w:spacing w:after="194"/>
        <w:ind w:left="0" w:right="6" w:firstLine="0"/>
      </w:pPr>
      <w:r>
        <w:lastRenderedPageBreak/>
        <w:t>All pupils with SEND are included socially and provision is m</w:t>
      </w:r>
      <w:r>
        <w:t xml:space="preserve">ade for pupils to be included within the curriculum. Reference should be made to the 'Equal Opportunities' document but it should be noted that this school supports the LA stance on inclusion of all pupils by a holistic approach through: </w:t>
      </w:r>
    </w:p>
    <w:p w:rsidR="00BF1CAB" w:rsidRDefault="00264E32">
      <w:pPr>
        <w:numPr>
          <w:ilvl w:val="0"/>
          <w:numId w:val="4"/>
        </w:numPr>
        <w:pBdr>
          <w:top w:val="nil"/>
          <w:left w:val="nil"/>
          <w:bottom w:val="nil"/>
          <w:right w:val="nil"/>
          <w:between w:val="nil"/>
        </w:pBdr>
        <w:spacing w:after="0" w:line="246" w:lineRule="auto"/>
        <w:ind w:right="6" w:hanging="360"/>
      </w:pPr>
      <w:r>
        <w:t xml:space="preserve">Setting suitable </w:t>
      </w:r>
      <w:r>
        <w:t xml:space="preserve">learning challenges </w:t>
      </w:r>
    </w:p>
    <w:p w:rsidR="00BF1CAB" w:rsidRDefault="00264E32">
      <w:pPr>
        <w:numPr>
          <w:ilvl w:val="0"/>
          <w:numId w:val="4"/>
        </w:numPr>
        <w:pBdr>
          <w:top w:val="nil"/>
          <w:left w:val="nil"/>
          <w:bottom w:val="nil"/>
          <w:right w:val="nil"/>
          <w:between w:val="nil"/>
        </w:pBdr>
        <w:spacing w:after="0" w:line="246" w:lineRule="auto"/>
        <w:ind w:right="6" w:hanging="360"/>
      </w:pPr>
      <w:r>
        <w:t xml:space="preserve">Overcoming potential barriers to learning and assessment for individuals and groups of pupils </w:t>
      </w:r>
    </w:p>
    <w:p w:rsidR="00BF1CAB" w:rsidRDefault="00264E32">
      <w:pPr>
        <w:numPr>
          <w:ilvl w:val="0"/>
          <w:numId w:val="4"/>
        </w:numPr>
        <w:pBdr>
          <w:top w:val="nil"/>
          <w:left w:val="nil"/>
          <w:bottom w:val="nil"/>
          <w:right w:val="nil"/>
          <w:between w:val="nil"/>
        </w:pBdr>
        <w:spacing w:after="0" w:line="246" w:lineRule="auto"/>
        <w:ind w:right="6" w:hanging="360"/>
      </w:pPr>
      <w:r>
        <w:t xml:space="preserve">Responding to pupils' diverse learning needs </w:t>
      </w:r>
    </w:p>
    <w:p w:rsidR="00BF1CAB" w:rsidRDefault="00264E32">
      <w:pPr>
        <w:numPr>
          <w:ilvl w:val="0"/>
          <w:numId w:val="4"/>
        </w:numPr>
        <w:pBdr>
          <w:top w:val="nil"/>
          <w:left w:val="nil"/>
          <w:bottom w:val="nil"/>
          <w:right w:val="nil"/>
          <w:between w:val="nil"/>
        </w:pBdr>
        <w:spacing w:line="246" w:lineRule="auto"/>
        <w:ind w:right="6" w:hanging="360"/>
      </w:pPr>
      <w:r>
        <w:t xml:space="preserve">Contributing to outer-agency support where necessary </w:t>
      </w:r>
    </w:p>
    <w:p w:rsidR="00BF1CAB" w:rsidRDefault="00264E32">
      <w:pPr>
        <w:numPr>
          <w:ilvl w:val="0"/>
          <w:numId w:val="4"/>
        </w:numPr>
        <w:pBdr>
          <w:top w:val="nil"/>
          <w:left w:val="nil"/>
          <w:bottom w:val="nil"/>
          <w:right w:val="nil"/>
          <w:between w:val="nil"/>
        </w:pBdr>
        <w:spacing w:after="0" w:line="240" w:lineRule="auto"/>
        <w:ind w:hanging="360"/>
      </w:pPr>
      <w:r>
        <w:t xml:space="preserve">Taking account of diverse cultures, faiths and family situations     </w:t>
      </w:r>
    </w:p>
    <w:p w:rsidR="00BF1CAB" w:rsidRDefault="00264E32">
      <w:pPr>
        <w:numPr>
          <w:ilvl w:val="0"/>
          <w:numId w:val="4"/>
        </w:numPr>
        <w:pBdr>
          <w:top w:val="nil"/>
          <w:left w:val="nil"/>
          <w:bottom w:val="nil"/>
          <w:right w:val="nil"/>
          <w:between w:val="nil"/>
        </w:pBdr>
        <w:spacing w:after="0" w:line="240" w:lineRule="auto"/>
        <w:ind w:hanging="360"/>
      </w:pPr>
      <w:r>
        <w:t>Taking account of health, physical, emotional and mental requirements</w:t>
      </w:r>
    </w:p>
    <w:p w:rsidR="00BF1CAB" w:rsidRDefault="00264E32">
      <w:pPr>
        <w:pBdr>
          <w:top w:val="nil"/>
          <w:left w:val="nil"/>
          <w:bottom w:val="nil"/>
          <w:right w:val="nil"/>
          <w:between w:val="nil"/>
        </w:pBdr>
        <w:spacing w:after="0" w:line="240" w:lineRule="auto"/>
        <w:ind w:left="859" w:firstLine="0"/>
      </w:pPr>
      <w:r>
        <w:t xml:space="preserve"> </w:t>
      </w:r>
    </w:p>
    <w:p w:rsidR="00BF1CAB" w:rsidRDefault="00264E32">
      <w:pPr>
        <w:spacing w:after="192"/>
        <w:ind w:left="165" w:right="318" w:firstLine="0"/>
      </w:pPr>
      <w:r>
        <w:t xml:space="preserve">At </w:t>
      </w:r>
      <w:r>
        <w:t>Co-op Academy Glebe</w:t>
      </w:r>
      <w:r>
        <w:t xml:space="preserve"> we hold the view that our equal opportunities and inclusion policy together with high expec</w:t>
      </w:r>
      <w:r>
        <w:t xml:space="preserve">tations will support the highest standards of achievement for all pupils.   We have quiet working areas throughout the school for small group and one to one </w:t>
      </w:r>
      <w:proofErr w:type="gramStart"/>
      <w:r>
        <w:t>sessions</w:t>
      </w:r>
      <w:proofErr w:type="gramEnd"/>
      <w:r>
        <w:t xml:space="preserve"> for all pupils requiring somewhere quiet to work.  These areas are time tabled in order fo</w:t>
      </w:r>
      <w:r>
        <w:t xml:space="preserve">r all classes to have equal access.   </w:t>
      </w:r>
    </w:p>
    <w:p w:rsidR="00BF1CAB" w:rsidRDefault="00264E32">
      <w:pPr>
        <w:pStyle w:val="Heading1"/>
        <w:spacing w:after="169"/>
        <w:ind w:left="165" w:firstLine="0"/>
      </w:pPr>
      <w:r>
        <w:t>Complaints</w:t>
      </w:r>
      <w:r>
        <w:rPr>
          <w:b w:val="0"/>
        </w:rPr>
        <w:t xml:space="preserve"> </w:t>
      </w:r>
    </w:p>
    <w:p w:rsidR="00BF1CAB" w:rsidRDefault="00264E32">
      <w:pPr>
        <w:spacing w:after="195" w:line="246" w:lineRule="auto"/>
        <w:ind w:left="189" w:right="212" w:firstLine="0"/>
        <w:jc w:val="both"/>
      </w:pPr>
      <w:r>
        <w:t>The school policy enables parents and carers to have direct access to their child's class teacher, the SENCO, Phase Leader and the Principal. If necessary, complaints can be referred to the Governing Board by following the academy complaints policy.</w:t>
      </w:r>
    </w:p>
    <w:p w:rsidR="00BF1CAB" w:rsidRDefault="00264E32">
      <w:pPr>
        <w:spacing w:after="195" w:line="246" w:lineRule="auto"/>
        <w:ind w:left="189" w:right="212" w:firstLine="0"/>
        <w:jc w:val="both"/>
        <w:rPr>
          <w:b/>
        </w:rPr>
      </w:pPr>
      <w:r>
        <w:rPr>
          <w:b/>
        </w:rPr>
        <w:t xml:space="preserve">INSET </w:t>
      </w:r>
      <w:r>
        <w:rPr>
          <w:b/>
        </w:rPr>
        <w:t xml:space="preserve">/ Staff Development </w:t>
      </w:r>
    </w:p>
    <w:p w:rsidR="00BF1CAB" w:rsidRDefault="00264E32">
      <w:pPr>
        <w:ind w:left="165" w:right="6" w:firstLine="0"/>
      </w:pPr>
      <w:r>
        <w:t xml:space="preserve">INSET needs for all staff will be delivered in conjunction with the Professional Development Program as outlined in the action plan. The </w:t>
      </w:r>
      <w:proofErr w:type="spellStart"/>
      <w:r>
        <w:t>SENDCo</w:t>
      </w:r>
      <w:proofErr w:type="spellEnd"/>
      <w:r>
        <w:t xml:space="preserve"> will continue to attend regular </w:t>
      </w:r>
      <w:proofErr w:type="spellStart"/>
      <w:r>
        <w:t>SENDCo</w:t>
      </w:r>
      <w:proofErr w:type="spellEnd"/>
      <w:r>
        <w:t xml:space="preserve"> Network meetings and will be responsible for sharing</w:t>
      </w:r>
      <w:r>
        <w:t xml:space="preserve"> current developments and initiatives with staff as appropriate and this will continue to support the development of all staff in SEND areas. </w:t>
      </w:r>
    </w:p>
    <w:p w:rsidR="00BF1CAB" w:rsidRDefault="00BF1CAB">
      <w:pPr>
        <w:ind w:left="165" w:right="6" w:firstLine="0"/>
      </w:pPr>
    </w:p>
    <w:p w:rsidR="00BF1CAB" w:rsidRDefault="00264E32">
      <w:pPr>
        <w:pStyle w:val="Heading1"/>
        <w:ind w:left="165" w:firstLine="0"/>
      </w:pPr>
      <w:r>
        <w:t>External Support and</w:t>
      </w:r>
      <w:r>
        <w:rPr>
          <w:b w:val="0"/>
        </w:rPr>
        <w:t xml:space="preserve"> </w:t>
      </w:r>
      <w:r>
        <w:t>Relations</w:t>
      </w:r>
      <w:r>
        <w:rPr>
          <w:b w:val="0"/>
        </w:rPr>
        <w:t xml:space="preserve"> </w:t>
      </w:r>
    </w:p>
    <w:p w:rsidR="00BF1CAB" w:rsidRDefault="00264E32">
      <w:pPr>
        <w:spacing w:after="185"/>
        <w:ind w:left="165" w:right="6" w:firstLine="0"/>
      </w:pPr>
      <w:r>
        <w:t>The school benefits from Special Educational Needs Support Service. The Educatio</w:t>
      </w:r>
      <w:r>
        <w:t>nal Psychologist visits the school on a regular basis and offers support to staff and works with pupils assessing their individual needs. To implement the SEN/Inclusion policy the SENCO will liaise, when appropriate, with a network of external support, inc</w:t>
      </w:r>
      <w:r>
        <w:t>luding Health, Social Services, SEN</w:t>
      </w:r>
      <w:r>
        <w:t>D</w:t>
      </w:r>
      <w:r>
        <w:t xml:space="preserve">S, Educational Psychologist, speech therapists, occupational therapists, physiotherapists, advisory teachers for visually and hearing impaired and EWO.   </w:t>
      </w:r>
    </w:p>
    <w:p w:rsidR="00BF1CAB" w:rsidRDefault="00264E32">
      <w:pPr>
        <w:pStyle w:val="Heading1"/>
        <w:spacing w:after="162"/>
        <w:ind w:left="165" w:firstLine="0"/>
      </w:pPr>
      <w:r>
        <w:t xml:space="preserve">Service Level Agreement </w:t>
      </w:r>
    </w:p>
    <w:p w:rsidR="00BF1CAB" w:rsidRDefault="00264E32">
      <w:pPr>
        <w:spacing w:after="195"/>
        <w:ind w:left="165" w:right="6" w:firstLine="0"/>
      </w:pPr>
      <w:r>
        <w:t xml:space="preserve">The </w:t>
      </w:r>
      <w:proofErr w:type="spellStart"/>
      <w:r>
        <w:t>SENDCo</w:t>
      </w:r>
      <w:proofErr w:type="spellEnd"/>
      <w:r>
        <w:t xml:space="preserve"> agrees support and signs a Se</w:t>
      </w:r>
      <w:r>
        <w:t xml:space="preserve">rvice Level agreement where appropriate at the start of each term with supporting outside agencies. </w:t>
      </w:r>
    </w:p>
    <w:p w:rsidR="00BF1CAB" w:rsidRDefault="00264E32">
      <w:pPr>
        <w:spacing w:after="230"/>
        <w:ind w:left="165" w:right="6" w:firstLine="0"/>
      </w:pPr>
      <w:r>
        <w:t>An Educational Welfare Officer visits school regularly and meets with the</w:t>
      </w:r>
      <w:r>
        <w:t xml:space="preserve"> Head of </w:t>
      </w:r>
      <w:proofErr w:type="gramStart"/>
      <w:r>
        <w:t>School.</w:t>
      </w:r>
      <w:r>
        <w:t>.</w:t>
      </w:r>
      <w:proofErr w:type="gramEnd"/>
      <w:r>
        <w:t xml:space="preserve"> </w:t>
      </w:r>
    </w:p>
    <w:p w:rsidR="00BF1CAB" w:rsidRDefault="00264E32">
      <w:pPr>
        <w:pStyle w:val="Heading1"/>
        <w:ind w:left="165" w:firstLine="0"/>
      </w:pPr>
      <w:r>
        <w:t xml:space="preserve">Home / School Links </w:t>
      </w:r>
    </w:p>
    <w:p w:rsidR="00BF1CAB" w:rsidRDefault="00264E32">
      <w:pPr>
        <w:spacing w:after="230"/>
        <w:ind w:left="165" w:right="6" w:firstLine="0"/>
      </w:pPr>
      <w:r>
        <w:t>At Co-op Academy Glebe we have a dedicated</w:t>
      </w:r>
      <w:r>
        <w:t xml:space="preserve"> team of staff </w:t>
      </w:r>
      <w:r>
        <w:t>who</w:t>
      </w:r>
      <w:r>
        <w:t xml:space="preserve"> work closely with our families identified as needing additional support by working closely with a wide range of </w:t>
      </w:r>
      <w:r>
        <w:lastRenderedPageBreak/>
        <w:t xml:space="preserve">external agencies /professionals to ensure that our most vulnerable children achieve their fullest potential.  </w:t>
      </w:r>
    </w:p>
    <w:p w:rsidR="00BF1CAB" w:rsidRDefault="00264E32">
      <w:pPr>
        <w:pStyle w:val="Heading1"/>
        <w:ind w:left="165" w:firstLine="0"/>
      </w:pPr>
      <w:r>
        <w:t>Parents/Carer</w:t>
      </w:r>
      <w:r>
        <w:t>s</w:t>
      </w:r>
      <w:r>
        <w:rPr>
          <w:b w:val="0"/>
        </w:rPr>
        <w:t xml:space="preserve"> </w:t>
      </w:r>
    </w:p>
    <w:p w:rsidR="00BF1CAB" w:rsidRDefault="00264E32">
      <w:pPr>
        <w:spacing w:after="195"/>
        <w:ind w:left="165" w:right="6" w:firstLine="0"/>
      </w:pPr>
      <w:r>
        <w:t>There should be the greatest possible degree of partnership between parents and their children, school, LEA and other agencies. Parents are actively encouraged to participate in the implementation of their child's School Support Targets. Parents will be</w:t>
      </w:r>
      <w:r>
        <w:t xml:space="preserve"> actively involved at least </w:t>
      </w:r>
      <w:r>
        <w:t>5</w:t>
      </w:r>
      <w:r>
        <w:t xml:space="preserve"> times a year when targets are reviewed and new objectives set for their child. With regard to the Code, parents' and children's views, comments and concerns are paramount throughout and they are placed at the heart of the process. </w:t>
      </w:r>
    </w:p>
    <w:p w:rsidR="00BF1CAB" w:rsidRDefault="00264E32">
      <w:pPr>
        <w:pStyle w:val="Heading1"/>
        <w:spacing w:after="169"/>
        <w:ind w:left="165" w:firstLine="0"/>
      </w:pPr>
      <w:r>
        <w:t>Transition Arrangements</w:t>
      </w:r>
      <w:r>
        <w:rPr>
          <w:b w:val="0"/>
        </w:rPr>
        <w:t xml:space="preserve"> </w:t>
      </w:r>
    </w:p>
    <w:p w:rsidR="00BF1CAB" w:rsidRDefault="00264E32">
      <w:pPr>
        <w:spacing w:after="194"/>
        <w:ind w:left="165" w:right="6" w:firstLine="0"/>
      </w:pPr>
      <w:r>
        <w:t xml:space="preserve">When children transfer to another school all documentation is forwarded to ensure continuity. When appropriate the </w:t>
      </w:r>
      <w:proofErr w:type="spellStart"/>
      <w:r>
        <w:t>SENDCo</w:t>
      </w:r>
      <w:proofErr w:type="spellEnd"/>
      <w:r>
        <w:t xml:space="preserve"> will liaise with the new school</w:t>
      </w:r>
      <w:r>
        <w:t xml:space="preserve"> and arrange additional transition sessions for the child, as well as advanced handover meetings. </w:t>
      </w:r>
    </w:p>
    <w:p w:rsidR="00BF1CAB" w:rsidRDefault="00264E32">
      <w:pPr>
        <w:spacing w:after="0" w:line="259" w:lineRule="auto"/>
        <w:ind w:left="0" w:firstLine="0"/>
      </w:pPr>
      <w:r>
        <w:rPr>
          <w:sz w:val="22"/>
          <w:szCs w:val="22"/>
        </w:rPr>
        <w:t xml:space="preserve"> </w:t>
      </w:r>
    </w:p>
    <w:sectPr w:rsidR="00BF1CAB" w:rsidSect="00264E32">
      <w:pgSz w:w="11906" w:h="16838"/>
      <w:pgMar w:top="709" w:right="1435" w:bottom="1469" w:left="708"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venir">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541FAF"/>
    <w:multiLevelType w:val="multilevel"/>
    <w:tmpl w:val="59CECFE0"/>
    <w:lvl w:ilvl="0">
      <w:start w:val="1"/>
      <w:numFmt w:val="bullet"/>
      <w:lvlText w:val="●"/>
      <w:lvlJc w:val="left"/>
      <w:pPr>
        <w:ind w:left="859" w:hanging="359"/>
      </w:pPr>
      <w:rPr>
        <w:rFonts w:ascii="Noto Sans Symbols" w:eastAsia="Noto Sans Symbols" w:hAnsi="Noto Sans Symbols" w:cs="Noto Sans Symbols"/>
      </w:rPr>
    </w:lvl>
    <w:lvl w:ilvl="1">
      <w:start w:val="1"/>
      <w:numFmt w:val="bullet"/>
      <w:lvlText w:val="o"/>
      <w:lvlJc w:val="left"/>
      <w:pPr>
        <w:ind w:left="1579" w:hanging="360"/>
      </w:pPr>
      <w:rPr>
        <w:rFonts w:ascii="Courier New" w:eastAsia="Courier New" w:hAnsi="Courier New" w:cs="Courier New"/>
      </w:rPr>
    </w:lvl>
    <w:lvl w:ilvl="2">
      <w:start w:val="1"/>
      <w:numFmt w:val="bullet"/>
      <w:lvlText w:val="▪"/>
      <w:lvlJc w:val="left"/>
      <w:pPr>
        <w:ind w:left="2299" w:hanging="360"/>
      </w:pPr>
      <w:rPr>
        <w:rFonts w:ascii="Noto Sans Symbols" w:eastAsia="Noto Sans Symbols" w:hAnsi="Noto Sans Symbols" w:cs="Noto Sans Symbols"/>
      </w:rPr>
    </w:lvl>
    <w:lvl w:ilvl="3">
      <w:start w:val="1"/>
      <w:numFmt w:val="bullet"/>
      <w:lvlText w:val="●"/>
      <w:lvlJc w:val="left"/>
      <w:pPr>
        <w:ind w:left="3019" w:hanging="360"/>
      </w:pPr>
      <w:rPr>
        <w:rFonts w:ascii="Noto Sans Symbols" w:eastAsia="Noto Sans Symbols" w:hAnsi="Noto Sans Symbols" w:cs="Noto Sans Symbols"/>
      </w:rPr>
    </w:lvl>
    <w:lvl w:ilvl="4">
      <w:start w:val="1"/>
      <w:numFmt w:val="bullet"/>
      <w:lvlText w:val="o"/>
      <w:lvlJc w:val="left"/>
      <w:pPr>
        <w:ind w:left="3739" w:hanging="360"/>
      </w:pPr>
      <w:rPr>
        <w:rFonts w:ascii="Courier New" w:eastAsia="Courier New" w:hAnsi="Courier New" w:cs="Courier New"/>
      </w:rPr>
    </w:lvl>
    <w:lvl w:ilvl="5">
      <w:start w:val="1"/>
      <w:numFmt w:val="bullet"/>
      <w:lvlText w:val="▪"/>
      <w:lvlJc w:val="left"/>
      <w:pPr>
        <w:ind w:left="4459" w:hanging="360"/>
      </w:pPr>
      <w:rPr>
        <w:rFonts w:ascii="Noto Sans Symbols" w:eastAsia="Noto Sans Symbols" w:hAnsi="Noto Sans Symbols" w:cs="Noto Sans Symbols"/>
      </w:rPr>
    </w:lvl>
    <w:lvl w:ilvl="6">
      <w:start w:val="1"/>
      <w:numFmt w:val="bullet"/>
      <w:lvlText w:val="●"/>
      <w:lvlJc w:val="left"/>
      <w:pPr>
        <w:ind w:left="5179" w:hanging="360"/>
      </w:pPr>
      <w:rPr>
        <w:rFonts w:ascii="Noto Sans Symbols" w:eastAsia="Noto Sans Symbols" w:hAnsi="Noto Sans Symbols" w:cs="Noto Sans Symbols"/>
      </w:rPr>
    </w:lvl>
    <w:lvl w:ilvl="7">
      <w:start w:val="1"/>
      <w:numFmt w:val="bullet"/>
      <w:lvlText w:val="o"/>
      <w:lvlJc w:val="left"/>
      <w:pPr>
        <w:ind w:left="5899" w:hanging="360"/>
      </w:pPr>
      <w:rPr>
        <w:rFonts w:ascii="Courier New" w:eastAsia="Courier New" w:hAnsi="Courier New" w:cs="Courier New"/>
      </w:rPr>
    </w:lvl>
    <w:lvl w:ilvl="8">
      <w:start w:val="1"/>
      <w:numFmt w:val="bullet"/>
      <w:lvlText w:val="▪"/>
      <w:lvlJc w:val="left"/>
      <w:pPr>
        <w:ind w:left="6619" w:hanging="360"/>
      </w:pPr>
      <w:rPr>
        <w:rFonts w:ascii="Noto Sans Symbols" w:eastAsia="Noto Sans Symbols" w:hAnsi="Noto Sans Symbols" w:cs="Noto Sans Symbols"/>
      </w:rPr>
    </w:lvl>
  </w:abstractNum>
  <w:abstractNum w:abstractNumId="1" w15:restartNumberingAfterBreak="0">
    <w:nsid w:val="11CF7533"/>
    <w:multiLevelType w:val="multilevel"/>
    <w:tmpl w:val="EF8A3D88"/>
    <w:lvl w:ilvl="0">
      <w:start w:val="1"/>
      <w:numFmt w:val="bullet"/>
      <w:lvlText w:val="●"/>
      <w:lvlJc w:val="left"/>
      <w:pPr>
        <w:ind w:left="859" w:hanging="359"/>
      </w:pPr>
      <w:rPr>
        <w:rFonts w:ascii="Noto Sans Symbols" w:eastAsia="Noto Sans Symbols" w:hAnsi="Noto Sans Symbols" w:cs="Noto Sans Symbols"/>
      </w:rPr>
    </w:lvl>
    <w:lvl w:ilvl="1">
      <w:start w:val="1"/>
      <w:numFmt w:val="bullet"/>
      <w:lvlText w:val="o"/>
      <w:lvlJc w:val="left"/>
      <w:pPr>
        <w:ind w:left="1579" w:hanging="360"/>
      </w:pPr>
      <w:rPr>
        <w:rFonts w:ascii="Courier New" w:eastAsia="Courier New" w:hAnsi="Courier New" w:cs="Courier New"/>
      </w:rPr>
    </w:lvl>
    <w:lvl w:ilvl="2">
      <w:start w:val="1"/>
      <w:numFmt w:val="bullet"/>
      <w:lvlText w:val="▪"/>
      <w:lvlJc w:val="left"/>
      <w:pPr>
        <w:ind w:left="2299" w:hanging="360"/>
      </w:pPr>
      <w:rPr>
        <w:rFonts w:ascii="Noto Sans Symbols" w:eastAsia="Noto Sans Symbols" w:hAnsi="Noto Sans Symbols" w:cs="Noto Sans Symbols"/>
      </w:rPr>
    </w:lvl>
    <w:lvl w:ilvl="3">
      <w:start w:val="1"/>
      <w:numFmt w:val="bullet"/>
      <w:lvlText w:val="●"/>
      <w:lvlJc w:val="left"/>
      <w:pPr>
        <w:ind w:left="3019" w:hanging="360"/>
      </w:pPr>
      <w:rPr>
        <w:rFonts w:ascii="Noto Sans Symbols" w:eastAsia="Noto Sans Symbols" w:hAnsi="Noto Sans Symbols" w:cs="Noto Sans Symbols"/>
      </w:rPr>
    </w:lvl>
    <w:lvl w:ilvl="4">
      <w:start w:val="1"/>
      <w:numFmt w:val="bullet"/>
      <w:lvlText w:val="o"/>
      <w:lvlJc w:val="left"/>
      <w:pPr>
        <w:ind w:left="3739" w:hanging="360"/>
      </w:pPr>
      <w:rPr>
        <w:rFonts w:ascii="Courier New" w:eastAsia="Courier New" w:hAnsi="Courier New" w:cs="Courier New"/>
      </w:rPr>
    </w:lvl>
    <w:lvl w:ilvl="5">
      <w:start w:val="1"/>
      <w:numFmt w:val="bullet"/>
      <w:lvlText w:val="▪"/>
      <w:lvlJc w:val="left"/>
      <w:pPr>
        <w:ind w:left="4459" w:hanging="360"/>
      </w:pPr>
      <w:rPr>
        <w:rFonts w:ascii="Noto Sans Symbols" w:eastAsia="Noto Sans Symbols" w:hAnsi="Noto Sans Symbols" w:cs="Noto Sans Symbols"/>
      </w:rPr>
    </w:lvl>
    <w:lvl w:ilvl="6">
      <w:start w:val="1"/>
      <w:numFmt w:val="bullet"/>
      <w:lvlText w:val="●"/>
      <w:lvlJc w:val="left"/>
      <w:pPr>
        <w:ind w:left="5179" w:hanging="360"/>
      </w:pPr>
      <w:rPr>
        <w:rFonts w:ascii="Noto Sans Symbols" w:eastAsia="Noto Sans Symbols" w:hAnsi="Noto Sans Symbols" w:cs="Noto Sans Symbols"/>
      </w:rPr>
    </w:lvl>
    <w:lvl w:ilvl="7">
      <w:start w:val="1"/>
      <w:numFmt w:val="bullet"/>
      <w:lvlText w:val="o"/>
      <w:lvlJc w:val="left"/>
      <w:pPr>
        <w:ind w:left="5899" w:hanging="360"/>
      </w:pPr>
      <w:rPr>
        <w:rFonts w:ascii="Courier New" w:eastAsia="Courier New" w:hAnsi="Courier New" w:cs="Courier New"/>
      </w:rPr>
    </w:lvl>
    <w:lvl w:ilvl="8">
      <w:start w:val="1"/>
      <w:numFmt w:val="bullet"/>
      <w:lvlText w:val="▪"/>
      <w:lvlJc w:val="left"/>
      <w:pPr>
        <w:ind w:left="6619" w:hanging="360"/>
      </w:pPr>
      <w:rPr>
        <w:rFonts w:ascii="Noto Sans Symbols" w:eastAsia="Noto Sans Symbols" w:hAnsi="Noto Sans Symbols" w:cs="Noto Sans Symbols"/>
      </w:rPr>
    </w:lvl>
  </w:abstractNum>
  <w:abstractNum w:abstractNumId="2" w15:restartNumberingAfterBreak="0">
    <w:nsid w:val="219C0995"/>
    <w:multiLevelType w:val="multilevel"/>
    <w:tmpl w:val="B41074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0207A4B"/>
    <w:multiLevelType w:val="multilevel"/>
    <w:tmpl w:val="D5469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3974B28"/>
    <w:multiLevelType w:val="multilevel"/>
    <w:tmpl w:val="0C1AAB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AAA1777"/>
    <w:multiLevelType w:val="multilevel"/>
    <w:tmpl w:val="CC3EF572"/>
    <w:lvl w:ilvl="0">
      <w:start w:val="1"/>
      <w:numFmt w:val="bullet"/>
      <w:lvlText w:val="•"/>
      <w:lvlJc w:val="left"/>
      <w:pPr>
        <w:ind w:left="1209" w:hanging="1209"/>
      </w:pPr>
      <w:rPr>
        <w:rFonts w:ascii="Arial" w:eastAsia="Arial" w:hAnsi="Arial" w:cs="Arial"/>
        <w:b w:val="0"/>
        <w:i w:val="0"/>
        <w:strike w:val="0"/>
        <w:color w:val="000000"/>
        <w:sz w:val="24"/>
        <w:szCs w:val="24"/>
        <w:u w:val="none"/>
        <w:shd w:val="clear" w:color="auto" w:fill="auto"/>
        <w:vertAlign w:val="baseline"/>
      </w:rPr>
    </w:lvl>
    <w:lvl w:ilvl="1">
      <w:start w:val="1"/>
      <w:numFmt w:val="bullet"/>
      <w:lvlText w:val="o"/>
      <w:lvlJc w:val="left"/>
      <w:pPr>
        <w:ind w:left="1680" w:hanging="168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2">
      <w:start w:val="1"/>
      <w:numFmt w:val="bullet"/>
      <w:lvlText w:val="▪"/>
      <w:lvlJc w:val="left"/>
      <w:pPr>
        <w:ind w:left="2400" w:hanging="24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3">
      <w:start w:val="1"/>
      <w:numFmt w:val="bullet"/>
      <w:lvlText w:val="•"/>
      <w:lvlJc w:val="left"/>
      <w:pPr>
        <w:ind w:left="3120" w:hanging="3120"/>
      </w:pPr>
      <w:rPr>
        <w:rFonts w:ascii="Arial" w:eastAsia="Arial" w:hAnsi="Arial" w:cs="Arial"/>
        <w:b w:val="0"/>
        <w:i w:val="0"/>
        <w:strike w:val="0"/>
        <w:color w:val="000000"/>
        <w:sz w:val="24"/>
        <w:szCs w:val="24"/>
        <w:u w:val="none"/>
        <w:shd w:val="clear" w:color="auto" w:fill="auto"/>
        <w:vertAlign w:val="baseline"/>
      </w:rPr>
    </w:lvl>
    <w:lvl w:ilvl="4">
      <w:start w:val="1"/>
      <w:numFmt w:val="bullet"/>
      <w:lvlText w:val="o"/>
      <w:lvlJc w:val="left"/>
      <w:pPr>
        <w:ind w:left="3840" w:hanging="384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5">
      <w:start w:val="1"/>
      <w:numFmt w:val="bullet"/>
      <w:lvlText w:val="▪"/>
      <w:lvlJc w:val="left"/>
      <w:pPr>
        <w:ind w:left="4560" w:hanging="456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6">
      <w:start w:val="1"/>
      <w:numFmt w:val="bullet"/>
      <w:lvlText w:val="•"/>
      <w:lvlJc w:val="left"/>
      <w:pPr>
        <w:ind w:left="5280" w:hanging="5280"/>
      </w:pPr>
      <w:rPr>
        <w:rFonts w:ascii="Arial" w:eastAsia="Arial" w:hAnsi="Arial" w:cs="Arial"/>
        <w:b w:val="0"/>
        <w:i w:val="0"/>
        <w:strike w:val="0"/>
        <w:color w:val="000000"/>
        <w:sz w:val="24"/>
        <w:szCs w:val="24"/>
        <w:u w:val="none"/>
        <w:shd w:val="clear" w:color="auto" w:fill="auto"/>
        <w:vertAlign w:val="baseline"/>
      </w:rPr>
    </w:lvl>
    <w:lvl w:ilvl="7">
      <w:start w:val="1"/>
      <w:numFmt w:val="bullet"/>
      <w:lvlText w:val="o"/>
      <w:lvlJc w:val="left"/>
      <w:pPr>
        <w:ind w:left="6000" w:hanging="6000"/>
      </w:pPr>
      <w:rPr>
        <w:rFonts w:ascii="Quattrocento Sans" w:eastAsia="Quattrocento Sans" w:hAnsi="Quattrocento Sans" w:cs="Quattrocento Sans"/>
        <w:b w:val="0"/>
        <w:i w:val="0"/>
        <w:strike w:val="0"/>
        <w:color w:val="000000"/>
        <w:sz w:val="24"/>
        <w:szCs w:val="24"/>
        <w:u w:val="none"/>
        <w:shd w:val="clear" w:color="auto" w:fill="auto"/>
        <w:vertAlign w:val="baseline"/>
      </w:rPr>
    </w:lvl>
    <w:lvl w:ilvl="8">
      <w:start w:val="1"/>
      <w:numFmt w:val="bullet"/>
      <w:lvlText w:val="▪"/>
      <w:lvlJc w:val="left"/>
      <w:pPr>
        <w:ind w:left="6720" w:hanging="6720"/>
      </w:pPr>
      <w:rPr>
        <w:rFonts w:ascii="Quattrocento Sans" w:eastAsia="Quattrocento Sans" w:hAnsi="Quattrocento Sans" w:cs="Quattrocento Sans"/>
        <w:b w:val="0"/>
        <w:i w:val="0"/>
        <w:strike w:val="0"/>
        <w:color w:val="000000"/>
        <w:sz w:val="24"/>
        <w:szCs w:val="24"/>
        <w:u w:val="none"/>
        <w:shd w:val="clear" w:color="auto" w:fill="auto"/>
        <w:vertAlign w:val="baseline"/>
      </w:rPr>
    </w:lvl>
  </w:abstractNum>
  <w:abstractNum w:abstractNumId="6" w15:restartNumberingAfterBreak="0">
    <w:nsid w:val="7BF83682"/>
    <w:multiLevelType w:val="multilevel"/>
    <w:tmpl w:val="ACCCC24A"/>
    <w:lvl w:ilvl="0">
      <w:start w:val="1"/>
      <w:numFmt w:val="bullet"/>
      <w:lvlText w:val="●"/>
      <w:lvlJc w:val="left"/>
      <w:pPr>
        <w:ind w:left="859" w:hanging="359"/>
      </w:pPr>
      <w:rPr>
        <w:rFonts w:ascii="Noto Sans Symbols" w:eastAsia="Noto Sans Symbols" w:hAnsi="Noto Sans Symbols" w:cs="Noto Sans Symbols"/>
      </w:rPr>
    </w:lvl>
    <w:lvl w:ilvl="1">
      <w:start w:val="1"/>
      <w:numFmt w:val="bullet"/>
      <w:lvlText w:val="o"/>
      <w:lvlJc w:val="left"/>
      <w:pPr>
        <w:ind w:left="1579" w:hanging="360"/>
      </w:pPr>
      <w:rPr>
        <w:rFonts w:ascii="Courier New" w:eastAsia="Courier New" w:hAnsi="Courier New" w:cs="Courier New"/>
      </w:rPr>
    </w:lvl>
    <w:lvl w:ilvl="2">
      <w:start w:val="1"/>
      <w:numFmt w:val="bullet"/>
      <w:lvlText w:val="▪"/>
      <w:lvlJc w:val="left"/>
      <w:pPr>
        <w:ind w:left="2299" w:hanging="360"/>
      </w:pPr>
      <w:rPr>
        <w:rFonts w:ascii="Noto Sans Symbols" w:eastAsia="Noto Sans Symbols" w:hAnsi="Noto Sans Symbols" w:cs="Noto Sans Symbols"/>
      </w:rPr>
    </w:lvl>
    <w:lvl w:ilvl="3">
      <w:start w:val="1"/>
      <w:numFmt w:val="bullet"/>
      <w:lvlText w:val="●"/>
      <w:lvlJc w:val="left"/>
      <w:pPr>
        <w:ind w:left="3019" w:hanging="360"/>
      </w:pPr>
      <w:rPr>
        <w:rFonts w:ascii="Noto Sans Symbols" w:eastAsia="Noto Sans Symbols" w:hAnsi="Noto Sans Symbols" w:cs="Noto Sans Symbols"/>
      </w:rPr>
    </w:lvl>
    <w:lvl w:ilvl="4">
      <w:start w:val="1"/>
      <w:numFmt w:val="bullet"/>
      <w:lvlText w:val="o"/>
      <w:lvlJc w:val="left"/>
      <w:pPr>
        <w:ind w:left="3739" w:hanging="360"/>
      </w:pPr>
      <w:rPr>
        <w:rFonts w:ascii="Courier New" w:eastAsia="Courier New" w:hAnsi="Courier New" w:cs="Courier New"/>
      </w:rPr>
    </w:lvl>
    <w:lvl w:ilvl="5">
      <w:start w:val="1"/>
      <w:numFmt w:val="bullet"/>
      <w:lvlText w:val="▪"/>
      <w:lvlJc w:val="left"/>
      <w:pPr>
        <w:ind w:left="4459" w:hanging="360"/>
      </w:pPr>
      <w:rPr>
        <w:rFonts w:ascii="Noto Sans Symbols" w:eastAsia="Noto Sans Symbols" w:hAnsi="Noto Sans Symbols" w:cs="Noto Sans Symbols"/>
      </w:rPr>
    </w:lvl>
    <w:lvl w:ilvl="6">
      <w:start w:val="1"/>
      <w:numFmt w:val="bullet"/>
      <w:lvlText w:val="●"/>
      <w:lvlJc w:val="left"/>
      <w:pPr>
        <w:ind w:left="5179" w:hanging="360"/>
      </w:pPr>
      <w:rPr>
        <w:rFonts w:ascii="Noto Sans Symbols" w:eastAsia="Noto Sans Symbols" w:hAnsi="Noto Sans Symbols" w:cs="Noto Sans Symbols"/>
      </w:rPr>
    </w:lvl>
    <w:lvl w:ilvl="7">
      <w:start w:val="1"/>
      <w:numFmt w:val="bullet"/>
      <w:lvlText w:val="o"/>
      <w:lvlJc w:val="left"/>
      <w:pPr>
        <w:ind w:left="5899" w:hanging="360"/>
      </w:pPr>
      <w:rPr>
        <w:rFonts w:ascii="Courier New" w:eastAsia="Courier New" w:hAnsi="Courier New" w:cs="Courier New"/>
      </w:rPr>
    </w:lvl>
    <w:lvl w:ilvl="8">
      <w:start w:val="1"/>
      <w:numFmt w:val="bullet"/>
      <w:lvlText w:val="▪"/>
      <w:lvlJc w:val="left"/>
      <w:pPr>
        <w:ind w:left="6619" w:hanging="360"/>
      </w:pPr>
      <w:rPr>
        <w:rFonts w:ascii="Noto Sans Symbols" w:eastAsia="Noto Sans Symbols" w:hAnsi="Noto Sans Symbols" w:cs="Noto Sans Symbols"/>
      </w:rPr>
    </w:lvl>
  </w:abstractNum>
  <w:num w:numId="1">
    <w:abstractNumId w:val="0"/>
  </w:num>
  <w:num w:numId="2">
    <w:abstractNumId w:val="2"/>
  </w:num>
  <w:num w:numId="3">
    <w:abstractNumId w:val="6"/>
  </w:num>
  <w:num w:numId="4">
    <w:abstractNumId w:val="1"/>
  </w:num>
  <w:num w:numId="5">
    <w:abstractNumId w:val="4"/>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CAB"/>
    <w:rsid w:val="00264E32"/>
    <w:rsid w:val="00BF1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EDCB81-ABCF-461B-98E3-E10067AED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GB" w:bidi="ar-SA"/>
      </w:rPr>
    </w:rPrDefault>
    <w:pPrDefault>
      <w:pPr>
        <w:spacing w:after="7" w:line="246" w:lineRule="auto"/>
        <w:ind w:left="149" w:hanging="1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7" w:lineRule="auto"/>
    </w:pPr>
    <w:rPr>
      <w:color w:val="000000"/>
    </w:rPr>
  </w:style>
  <w:style w:type="paragraph" w:styleId="Heading1">
    <w:name w:val="heading 1"/>
    <w:next w:val="Normal"/>
    <w:link w:val="Heading1Char"/>
    <w:uiPriority w:val="9"/>
    <w:qFormat/>
    <w:pPr>
      <w:keepNext/>
      <w:keepLines/>
      <w:spacing w:after="207" w:line="267" w:lineRule="auto"/>
      <w:ind w:left="10"/>
      <w:outlineLvl w:val="0"/>
    </w:pPr>
    <w:rPr>
      <w:b/>
      <w:color w:val="00000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rPr>
      <w:rFonts w:ascii="Arial" w:eastAsia="Arial" w:hAnsi="Arial" w:cs="Arial"/>
      <w:b/>
      <w:color w:val="000000"/>
      <w:sz w:val="24"/>
    </w:rPr>
  </w:style>
  <w:style w:type="paragraph" w:styleId="ListParagraph">
    <w:name w:val="List Paragraph"/>
    <w:basedOn w:val="Normal"/>
    <w:uiPriority w:val="34"/>
    <w:qFormat/>
    <w:rsid w:val="005E44A8"/>
    <w:pPr>
      <w:ind w:left="720"/>
      <w:contextualSpacing/>
    </w:pPr>
  </w:style>
  <w:style w:type="paragraph" w:styleId="BalloonText">
    <w:name w:val="Balloon Text"/>
    <w:basedOn w:val="Normal"/>
    <w:link w:val="BalloonTextChar"/>
    <w:uiPriority w:val="99"/>
    <w:semiHidden/>
    <w:unhideWhenUsed/>
    <w:rsid w:val="007F1C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1C60"/>
    <w:rPr>
      <w:rFonts w:ascii="Segoe UI" w:eastAsia="Arial" w:hAnsi="Segoe UI" w:cs="Segoe UI"/>
      <w:color w:val="000000"/>
      <w:sz w:val="18"/>
      <w:szCs w:val="18"/>
    </w:rPr>
  </w:style>
  <w:style w:type="paragraph" w:styleId="NoSpacing">
    <w:name w:val="No Spacing"/>
    <w:uiPriority w:val="1"/>
    <w:qFormat/>
    <w:rsid w:val="006C7FCB"/>
    <w:pPr>
      <w:spacing w:after="0" w:line="240" w:lineRule="auto"/>
    </w:pPr>
    <w:rPr>
      <w:color w:val="000000"/>
    </w:rPr>
  </w:style>
  <w:style w:type="paragraph" w:styleId="Header">
    <w:name w:val="header"/>
    <w:basedOn w:val="Normal"/>
    <w:link w:val="HeaderChar"/>
    <w:uiPriority w:val="99"/>
    <w:unhideWhenUsed/>
    <w:rsid w:val="00B33E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EB2"/>
    <w:rPr>
      <w:rFonts w:ascii="Arial" w:eastAsia="Arial" w:hAnsi="Arial" w:cs="Arial"/>
      <w:color w:val="000000"/>
      <w:sz w:val="24"/>
    </w:rPr>
  </w:style>
  <w:style w:type="paragraph" w:styleId="Footer">
    <w:name w:val="footer"/>
    <w:basedOn w:val="Normal"/>
    <w:link w:val="FooterChar"/>
    <w:uiPriority w:val="99"/>
    <w:unhideWhenUsed/>
    <w:rsid w:val="00B33E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EB2"/>
    <w:rPr>
      <w:rFonts w:ascii="Arial" w:eastAsia="Arial" w:hAnsi="Arial" w:cs="Arial"/>
      <w:color w:val="000000"/>
      <w:sz w:val="24"/>
    </w:rPr>
  </w:style>
  <w:style w:type="table" w:customStyle="1" w:styleId="TableGrid1">
    <w:name w:val="Table Grid1"/>
    <w:basedOn w:val="TableNormal"/>
    <w:next w:val="TableGrid"/>
    <w:uiPriority w:val="39"/>
    <w:rsid w:val="00B33EB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B33E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Bd8nt95oeCZSIdNq122LXCHbDg==">CgMxLjAyCGguZ2pkZ3hzOAByITFSb1MtaXV5UmNJbEFFM3RuLUF6cndLNUxxZFNnTkUwRA==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2642</Words>
  <Characters>15063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Glebe-LT-22</dc:creator>
  <cp:lastModifiedBy>Holly Green</cp:lastModifiedBy>
  <cp:revision>2</cp:revision>
  <dcterms:created xsi:type="dcterms:W3CDTF">2023-09-25T10:35:00Z</dcterms:created>
  <dcterms:modified xsi:type="dcterms:W3CDTF">2023-09-25T10:35:00Z</dcterms:modified>
</cp:coreProperties>
</file>